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5057775</wp:posOffset>
            </wp:positionH>
            <wp:positionV relativeFrom="paragraph">
              <wp:posOffset>193675</wp:posOffset>
            </wp:positionV>
            <wp:extent cx="1952624" cy="4476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4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</w:rPr>
        <w:t>Understanding</w:t>
      </w:r>
      <w:r>
        <w:rPr>
          <w:color w:val="666666"/>
          <w:spacing w:val="-6"/>
        </w:rPr>
        <w:t> </w:t>
      </w:r>
      <w:r>
        <w:rPr>
          <w:color w:val="666666"/>
        </w:rPr>
        <w:t>and</w:t>
      </w:r>
      <w:r>
        <w:rPr>
          <w:color w:val="666666"/>
          <w:spacing w:val="-5"/>
        </w:rPr>
        <w:t> </w:t>
      </w:r>
      <w:r>
        <w:rPr>
          <w:color w:val="666666"/>
        </w:rPr>
        <w:t>Interrogating</w:t>
      </w:r>
      <w:r>
        <w:rPr>
          <w:color w:val="666666"/>
          <w:spacing w:val="-6"/>
        </w:rPr>
        <w:t> </w:t>
      </w:r>
      <w:r>
        <w:rPr>
          <w:color w:val="666666"/>
        </w:rPr>
        <w:t>Dominant</w:t>
      </w:r>
      <w:r>
        <w:rPr>
          <w:color w:val="666666"/>
          <w:spacing w:val="-5"/>
        </w:rPr>
        <w:t> </w:t>
      </w:r>
      <w:r>
        <w:rPr>
          <w:color w:val="666666"/>
        </w:rPr>
        <w:t>Culture</w:t>
      </w:r>
    </w:p>
    <w:p>
      <w:pPr>
        <w:pStyle w:val="BodyText"/>
        <w:spacing w:before="37"/>
        <w:ind w:left="120"/>
      </w:pPr>
      <w:r>
        <w:rPr>
          <w:color w:val="666666"/>
        </w:rPr>
        <w:t>Unit</w:t>
      </w:r>
      <w:r>
        <w:rPr>
          <w:color w:val="666666"/>
          <w:spacing w:val="-1"/>
        </w:rPr>
        <w:t> </w:t>
      </w:r>
      <w:r>
        <w:rPr>
          <w:color w:val="666666"/>
        </w:rPr>
        <w:t>by</w:t>
      </w:r>
      <w:r>
        <w:rPr>
          <w:color w:val="666666"/>
          <w:spacing w:val="-1"/>
        </w:rPr>
        <w:t> </w:t>
      </w:r>
      <w:r>
        <w:rPr>
          <w:color w:val="666666"/>
        </w:rPr>
        <w:t>Friendship</w:t>
      </w:r>
      <w:r>
        <w:rPr>
          <w:color w:val="666666"/>
          <w:spacing w:val="-1"/>
        </w:rPr>
        <w:t> </w:t>
      </w:r>
      <w:r>
        <w:rPr>
          <w:color w:val="666666"/>
        </w:rPr>
        <w:t>Public</w:t>
      </w:r>
      <w:r>
        <w:rPr>
          <w:color w:val="666666"/>
          <w:spacing w:val="-1"/>
        </w:rPr>
        <w:t> </w:t>
      </w:r>
      <w:r>
        <w:rPr>
          <w:color w:val="666666"/>
        </w:rPr>
        <w:t>Charter</w:t>
      </w:r>
      <w:r>
        <w:rPr>
          <w:color w:val="666666"/>
          <w:spacing w:val="-2"/>
        </w:rPr>
        <w:t> </w:t>
      </w:r>
      <w:r>
        <w:rPr>
          <w:color w:val="666666"/>
        </w:rPr>
        <w:t>School team,</w:t>
      </w:r>
    </w:p>
    <w:p>
      <w:pPr>
        <w:spacing w:before="38"/>
        <w:ind w:left="120" w:right="0" w:firstLine="0"/>
        <w:jc w:val="left"/>
        <w:rPr>
          <w:sz w:val="22"/>
        </w:rPr>
      </w:pPr>
      <w:r>
        <w:rPr>
          <w:color w:val="666666"/>
          <w:sz w:val="22"/>
        </w:rPr>
        <w:t>part</w:t>
      </w:r>
      <w:r>
        <w:rPr>
          <w:color w:val="666666"/>
          <w:spacing w:val="-2"/>
          <w:sz w:val="22"/>
        </w:rPr>
        <w:t> </w:t>
      </w:r>
      <w:r>
        <w:rPr>
          <w:color w:val="666666"/>
          <w:sz w:val="22"/>
        </w:rPr>
        <w:t>of</w:t>
      </w:r>
      <w:r>
        <w:rPr>
          <w:color w:val="666666"/>
          <w:spacing w:val="-1"/>
          <w:sz w:val="22"/>
        </w:rPr>
        <w:t> </w:t>
      </w:r>
      <w:r>
        <w:rPr>
          <w:color w:val="666666"/>
          <w:sz w:val="22"/>
        </w:rPr>
        <w:t>the</w:t>
      </w:r>
      <w:r>
        <w:rPr>
          <w:color w:val="666666"/>
          <w:spacing w:val="-1"/>
          <w:sz w:val="22"/>
        </w:rPr>
        <w:t> </w:t>
      </w:r>
      <w:r>
        <w:rPr>
          <w:color w:val="666666"/>
          <w:sz w:val="22"/>
        </w:rPr>
        <w:t>2021</w:t>
      </w:r>
      <w:r>
        <w:rPr>
          <w:color w:val="666666"/>
          <w:spacing w:val="-2"/>
          <w:sz w:val="22"/>
        </w:rPr>
        <w:t> </w:t>
      </w:r>
      <w:r>
        <w:rPr>
          <w:color w:val="666666"/>
          <w:sz w:val="22"/>
        </w:rPr>
        <w:t>cohort</w:t>
      </w:r>
      <w:r>
        <w:rPr>
          <w:color w:val="666666"/>
          <w:spacing w:val="-1"/>
          <w:sz w:val="22"/>
        </w:rPr>
        <w:t> </w:t>
      </w:r>
      <w:r>
        <w:rPr>
          <w:color w:val="666666"/>
          <w:sz w:val="22"/>
        </w:rPr>
        <w:t>of</w:t>
      </w:r>
      <w:r>
        <w:rPr>
          <w:color w:val="666666"/>
          <w:spacing w:val="-2"/>
          <w:sz w:val="22"/>
        </w:rPr>
        <w:t> </w:t>
      </w:r>
      <w:r>
        <w:rPr>
          <w:i/>
          <w:color w:val="666666"/>
          <w:sz w:val="22"/>
        </w:rPr>
        <w:t>The</w:t>
      </w:r>
      <w:r>
        <w:rPr>
          <w:i/>
          <w:color w:val="666666"/>
          <w:spacing w:val="-2"/>
          <w:sz w:val="22"/>
        </w:rPr>
        <w:t> </w:t>
      </w:r>
      <w:r>
        <w:rPr>
          <w:i/>
          <w:color w:val="666666"/>
          <w:sz w:val="22"/>
        </w:rPr>
        <w:t>1619</w:t>
      </w:r>
      <w:r>
        <w:rPr>
          <w:i/>
          <w:color w:val="666666"/>
          <w:spacing w:val="-2"/>
          <w:sz w:val="22"/>
        </w:rPr>
        <w:t> </w:t>
      </w:r>
      <w:r>
        <w:rPr>
          <w:i/>
          <w:color w:val="666666"/>
          <w:sz w:val="22"/>
        </w:rPr>
        <w:t>Project</w:t>
      </w:r>
      <w:r>
        <w:rPr>
          <w:i/>
          <w:color w:val="666666"/>
          <w:spacing w:val="-1"/>
          <w:sz w:val="22"/>
        </w:rPr>
        <w:t> </w:t>
      </w:r>
      <w:r>
        <w:rPr>
          <w:color w:val="666666"/>
          <w:sz w:val="22"/>
        </w:rPr>
        <w:t>Education</w:t>
      </w:r>
      <w:r>
        <w:rPr>
          <w:color w:val="666666"/>
          <w:spacing w:val="-2"/>
          <w:sz w:val="22"/>
        </w:rPr>
        <w:t> </w:t>
      </w:r>
      <w:r>
        <w:rPr>
          <w:color w:val="666666"/>
          <w:sz w:val="22"/>
        </w:rPr>
        <w:t>Network</w:t>
      </w:r>
    </w:p>
    <w:p>
      <w:pPr>
        <w:pStyle w:val="BodyText"/>
        <w:spacing w:before="3"/>
        <w:ind w:left="0"/>
        <w:rPr>
          <w:sz w:val="13"/>
        </w:rPr>
      </w:pPr>
      <w:r>
        <w:rPr/>
        <w:pict>
          <v:shape style="position:absolute;margin-left:72pt;margin-top:8.765387pt;width:452.75pt;height:.1pt;mso-position-horizontal-relative:page;mso-position-vertical-relative:paragraph;z-index:-15728640;mso-wrap-distance-left:0;mso-wrap-distance-right:0" id="docshape1" coordorigin="1440,175" coordsize="9055,0" path="m1440,175l10494,175e" filled="false" stroked="true" strokeweight=".5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6" w:lineRule="auto" w:before="156"/>
        <w:ind w:left="119" w:right="199"/>
      </w:pPr>
      <w:hyperlink r:id="rId6">
        <w:r>
          <w:rPr>
            <w:color w:val="1154CC"/>
            <w:u w:val="single" w:color="1154CC"/>
          </w:rPr>
          <w:t>USDA Sugar Background</w:t>
        </w:r>
        <w:r>
          <w:rPr>
            <w:color w:val="1154CC"/>
          </w:rPr>
          <w:t> </w:t>
        </w:r>
      </w:hyperlink>
      <w:r>
        <w:rPr/>
        <w:t>includes key facts and data points re: sugar production that teachers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/>
        <w:t>pull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</w:t>
      </w:r>
      <w:r>
        <w:rPr>
          <w:spacing w:val="-1"/>
        </w:rPr>
        <w:t> </w:t>
      </w:r>
      <w:r>
        <w:rPr/>
        <w:t>observation,</w:t>
      </w:r>
      <w:r>
        <w:rPr>
          <w:spacing w:val="-3"/>
        </w:rPr>
        <w:t> </w:t>
      </w:r>
      <w:r>
        <w:rPr/>
        <w:t>analysis,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inference</w:t>
      </w:r>
      <w:r>
        <w:rPr>
          <w:spacing w:val="-1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students.</w:t>
      </w:r>
      <w:r>
        <w:rPr>
          <w:spacing w:val="-3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can</w:t>
      </w:r>
      <w:r>
        <w:rPr>
          <w:spacing w:val="-4"/>
        </w:rPr>
        <w:t> </w:t>
      </w:r>
      <w:r>
        <w:rPr/>
        <w:t>read</w:t>
      </w:r>
      <w:r>
        <w:rPr>
          <w:spacing w:val="-50"/>
        </w:rPr>
        <w:t> </w:t>
      </w:r>
      <w:r>
        <w:rPr/>
        <w:t>the</w:t>
      </w:r>
      <w:r>
        <w:rPr>
          <w:spacing w:val="-1"/>
        </w:rPr>
        <w:t> </w:t>
      </w:r>
      <w:r>
        <w:rPr/>
        <w:t>section title titled “U.S.</w:t>
      </w:r>
      <w:r>
        <w:rPr>
          <w:spacing w:val="-2"/>
        </w:rPr>
        <w:t> </w:t>
      </w:r>
      <w:r>
        <w:rPr/>
        <w:t>Sugar</w:t>
      </w:r>
      <w:r>
        <w:rPr>
          <w:spacing w:val="-1"/>
        </w:rPr>
        <w:t> </w:t>
      </w:r>
      <w:r>
        <w:rPr/>
        <w:t>Production and answer</w:t>
      </w:r>
      <w:r>
        <w:rPr>
          <w:spacing w:val="-1"/>
        </w:rPr>
        <w:t> </w:t>
      </w:r>
      <w:r>
        <w:rPr/>
        <w:t>questions such as these.</w:t>
      </w: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667" w:val="left" w:leader="none"/>
          <w:tab w:pos="668" w:val="left" w:leader="none"/>
        </w:tabs>
        <w:spacing w:line="276" w:lineRule="auto" w:before="95" w:after="0"/>
        <w:ind w:left="614" w:right="893" w:hanging="360"/>
        <w:jc w:val="left"/>
        <w:rPr>
          <w:rFonts w:ascii="Arial"/>
          <w:sz w:val="22"/>
        </w:rPr>
      </w:pPr>
      <w:r>
        <w:rPr/>
        <w:tab/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states/geographic</w:t>
      </w:r>
      <w:r>
        <w:rPr>
          <w:spacing w:val="-1"/>
          <w:sz w:val="22"/>
        </w:rPr>
        <w:t> </w:t>
      </w:r>
      <w:r>
        <w:rPr>
          <w:sz w:val="22"/>
        </w:rPr>
        <w:t>regions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responsible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most</w:t>
      </w:r>
      <w:r>
        <w:rPr>
          <w:spacing w:val="-1"/>
          <w:sz w:val="22"/>
        </w:rPr>
        <w:t> </w:t>
      </w:r>
      <w:r>
        <w:rPr>
          <w:sz w:val="22"/>
        </w:rPr>
        <w:t>sugarcane</w:t>
      </w:r>
      <w:r>
        <w:rPr>
          <w:spacing w:val="-1"/>
          <w:sz w:val="22"/>
        </w:rPr>
        <w:t> </w:t>
      </w:r>
      <w:r>
        <w:rPr>
          <w:sz w:val="22"/>
        </w:rPr>
        <w:t>production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0"/>
          <w:sz w:val="22"/>
        </w:rPr>
        <w:t> </w:t>
      </w:r>
      <w:r>
        <w:rPr>
          <w:sz w:val="22"/>
        </w:rPr>
        <w:t>US today?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76" w:lineRule="auto" w:before="0" w:after="0"/>
        <w:ind w:left="614" w:right="858" w:hanging="360"/>
        <w:jc w:val="left"/>
        <w:rPr>
          <w:sz w:val="22"/>
        </w:rPr>
      </w:pPr>
      <w:r>
        <w:rPr>
          <w:sz w:val="22"/>
        </w:rPr>
        <w:t>While the amount of sugar produced in the US is </w:t>
      </w:r>
      <w:r>
        <w:rPr>
          <w:i/>
          <w:sz w:val="22"/>
        </w:rPr>
        <w:t>increasing </w:t>
      </w:r>
      <w:r>
        <w:rPr>
          <w:sz w:val="22"/>
        </w:rPr>
        <w:t>every year, the number of</w:t>
      </w:r>
      <w:r>
        <w:rPr>
          <w:spacing w:val="-52"/>
          <w:sz w:val="22"/>
        </w:rPr>
        <w:t> </w:t>
      </w:r>
      <w:r>
        <w:rPr>
          <w:sz w:val="22"/>
        </w:rPr>
        <w:t>farms that grow sugarcane and sugar beets have actually </w:t>
      </w:r>
      <w:r>
        <w:rPr>
          <w:i/>
          <w:sz w:val="22"/>
        </w:rPr>
        <w:t>decreased </w:t>
      </w:r>
      <w:r>
        <w:rPr>
          <w:sz w:val="22"/>
        </w:rPr>
        <w:t>over the last 20</w:t>
      </w:r>
      <w:r>
        <w:rPr>
          <w:spacing w:val="1"/>
          <w:sz w:val="22"/>
        </w:rPr>
        <w:t> </w:t>
      </w:r>
      <w:r>
        <w:rPr>
          <w:sz w:val="22"/>
        </w:rPr>
        <w:t>years.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possible?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are the</w:t>
      </w:r>
      <w:r>
        <w:rPr>
          <w:spacing w:val="-1"/>
          <w:sz w:val="22"/>
        </w:rPr>
        <w:t> </w:t>
      </w:r>
      <w:r>
        <w:rPr>
          <w:sz w:val="22"/>
        </w:rPr>
        <w:t>implications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small farmers?</w:t>
      </w:r>
      <w:r>
        <w:rPr>
          <w:spacing w:val="-2"/>
          <w:sz w:val="22"/>
        </w:rPr>
        <w:t> </w:t>
      </w:r>
      <w:r>
        <w:rPr>
          <w:sz w:val="22"/>
        </w:rPr>
        <w:t>Large</w:t>
      </w:r>
      <w:r>
        <w:rPr>
          <w:spacing w:val="-50"/>
          <w:sz w:val="22"/>
        </w:rPr>
        <w:t> </w:t>
      </w:r>
      <w:r>
        <w:rPr>
          <w:sz w:val="22"/>
        </w:rPr>
        <w:t>corporations?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0" w:after="0"/>
        <w:ind w:left="614" w:right="0" w:hanging="361"/>
        <w:jc w:val="left"/>
        <w:rPr>
          <w:sz w:val="22"/>
        </w:rPr>
      </w:pPr>
      <w:r>
        <w:rPr>
          <w:sz w:val="22"/>
        </w:rPr>
        <w:t>Why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think</w:t>
      </w:r>
      <w:r>
        <w:rPr>
          <w:spacing w:val="-2"/>
          <w:sz w:val="22"/>
        </w:rPr>
        <w:t> </w:t>
      </w:r>
      <w:r>
        <w:rPr>
          <w:sz w:val="22"/>
        </w:rPr>
        <w:t>small</w:t>
      </w:r>
      <w:r>
        <w:rPr>
          <w:spacing w:val="-1"/>
          <w:sz w:val="22"/>
        </w:rPr>
        <w:t> </w:t>
      </w:r>
      <w:r>
        <w:rPr>
          <w:sz w:val="22"/>
        </w:rPr>
        <w:t>farmers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unable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compete</w:t>
      </w:r>
      <w:r>
        <w:rPr>
          <w:spacing w:val="-1"/>
          <w:sz w:val="22"/>
        </w:rPr>
        <w:t> </w:t>
      </w:r>
      <w:r>
        <w:rPr>
          <w:sz w:val="22"/>
        </w:rPr>
        <w:t>with large</w:t>
      </w:r>
      <w:r>
        <w:rPr>
          <w:spacing w:val="-1"/>
          <w:sz w:val="22"/>
        </w:rPr>
        <w:t> </w:t>
      </w:r>
      <w:r>
        <w:rPr>
          <w:sz w:val="22"/>
        </w:rPr>
        <w:t>sugar</w:t>
      </w:r>
      <w:r>
        <w:rPr>
          <w:spacing w:val="-2"/>
          <w:sz w:val="22"/>
        </w:rPr>
        <w:t> </w:t>
      </w:r>
      <w:r>
        <w:rPr>
          <w:sz w:val="22"/>
        </w:rPr>
        <w:t>corporations?</w:t>
      </w:r>
    </w:p>
    <w:sectPr>
      <w:type w:val="continuous"/>
      <w:pgSz w:w="12240" w:h="15840"/>
      <w:pgMar w:top="640" w:bottom="28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14" w:hanging="414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4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0" w:hanging="4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4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0" w:hanging="4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4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0" w:hanging="4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4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0" w:hanging="41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614"/>
    </w:pPr>
    <w:rPr>
      <w:rFonts w:ascii="Georgia" w:hAnsi="Georgia" w:eastAsia="Georgia" w:cs="Georgi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20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14" w:hanging="360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ers.usda.gov/topics/crops/sugar-sweeteners/background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questions for engaging with USDA Sugar Background</dc:title>
  <dcterms:created xsi:type="dcterms:W3CDTF">2022-02-16T22:02:18Z</dcterms:created>
  <dcterms:modified xsi:type="dcterms:W3CDTF">2022-02-16T22:02:18Z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