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jc w:val="center"/>
        <w:rPr>
          <w:rFonts w:ascii="Comfortaa" w:cs="Comfortaa" w:eastAsia="Comfortaa" w:hAnsi="Comfortaa"/>
          <w:b w:val="1"/>
          <w:bCs w:val="1"/>
          <w:color w:val="1155cc"/>
          <w:sz w:val="32"/>
          <w:szCs w:val="32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36"/>
          <w:szCs w:val="36"/>
          <w:rtl w:val="0"/>
        </w:rPr>
        <w:t xml:space="preserve">Dialectical Journal: Ethos/Pathos/Logos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76" w:lineRule="auto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10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20"/>
        <w:gridCol w:w="1635"/>
        <w:gridCol w:w="2100"/>
        <w:gridCol w:w="2505"/>
        <w:gridCol w:w="5340"/>
        <w:tblGridChange w:id="0">
          <w:tblGrid>
            <w:gridCol w:w="2520"/>
            <w:gridCol w:w="1635"/>
            <w:gridCol w:w="2100"/>
            <w:gridCol w:w="2505"/>
            <w:gridCol w:w="5340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3">
            <w:pPr>
              <w:spacing w:after="200" w:line="276" w:lineRule="auto"/>
              <w:jc w:val="center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rtl w:val="0"/>
              </w:rPr>
              <w:t xml:space="preserve">Passage</w:t>
            </w:r>
          </w:p>
          <w:p w:rsidR="00000000" w:rsidDel="00000000" w:rsidP="00000000" w:rsidRDefault="00000000" w:rsidRPr="00000000" w14:paraId="00000004">
            <w:pPr>
              <w:spacing w:after="200" w:line="276" w:lineRule="auto"/>
              <w:jc w:val="center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rtl w:val="0"/>
              </w:rPr>
              <w:t xml:space="preserve">**2-5 Sentences**</w:t>
            </w:r>
          </w:p>
          <w:p w:rsidR="00000000" w:rsidDel="00000000" w:rsidP="00000000" w:rsidRDefault="00000000" w:rsidRPr="00000000" w14:paraId="00000005">
            <w:pPr>
              <w:spacing w:after="200" w:line="276" w:lineRule="auto"/>
              <w:jc w:val="center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spacing w:after="200" w:line="276" w:lineRule="auto"/>
              <w:jc w:val="center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rtl w:val="0"/>
              </w:rPr>
              <w:t xml:space="preserve">Title of Text</w:t>
            </w:r>
          </w:p>
          <w:p w:rsidR="00000000" w:rsidDel="00000000" w:rsidP="00000000" w:rsidRDefault="00000000" w:rsidRPr="00000000" w14:paraId="00000007">
            <w:pPr>
              <w:spacing w:after="200" w:line="276" w:lineRule="auto"/>
              <w:jc w:val="center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rtl w:val="0"/>
              </w:rPr>
              <w:t xml:space="preserve">AND</w:t>
            </w:r>
          </w:p>
          <w:p w:rsidR="00000000" w:rsidDel="00000000" w:rsidP="00000000" w:rsidRDefault="00000000" w:rsidRPr="00000000" w14:paraId="00000008">
            <w:pPr>
              <w:spacing w:after="200" w:line="276" w:lineRule="auto"/>
              <w:jc w:val="center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rtl w:val="0"/>
              </w:rPr>
              <w:t xml:space="preserve">Writer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9">
            <w:pPr>
              <w:spacing w:after="200" w:line="276" w:lineRule="auto"/>
              <w:jc w:val="center"/>
              <w:rPr>
                <w:rFonts w:ascii="Comfortaa" w:cs="Comfortaa" w:eastAsia="Comfortaa" w:hAnsi="Comfortaa"/>
                <w:b w:val="1"/>
                <w:bCs w:val="1"/>
              </w:rPr>
            </w:pPr>
            <w:hyperlink r:id="rId6">
              <w:r w:rsidDel="00000000" w:rsidR="00000000" w:rsidRPr="00000000">
                <w:rPr>
                  <w:rFonts w:ascii="Comfortaa" w:cs="Comfortaa" w:eastAsia="Comfortaa" w:hAnsi="Comfortaa"/>
                  <w:b w:val="1"/>
                  <w:bCs w:val="1"/>
                  <w:color w:val="1155cc"/>
                  <w:u w:val="single"/>
                  <w:rtl w:val="0"/>
                </w:rPr>
                <w:t xml:space="preserve">Rhetorical Appeals (Ethos/Pathos/ Logos)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200" w:line="276" w:lineRule="auto"/>
              <w:jc w:val="left"/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Fonts w:ascii="Comfortaa" w:cs="Comfortaa" w:eastAsia="Comfortaa" w:hAnsi="Comfortaa"/>
                <w:rtl w:val="0"/>
              </w:rPr>
              <w:t xml:space="preserve">Can be a combination of appeals (devices)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B">
            <w:pPr>
              <w:spacing w:after="200" w:line="276" w:lineRule="auto"/>
              <w:jc w:val="center"/>
              <w:rPr>
                <w:rFonts w:ascii="Comfortaa" w:cs="Comfortaa" w:eastAsia="Comfortaa" w:hAnsi="Comfortaa"/>
                <w:b w:val="1"/>
                <w:bCs w:val="1"/>
              </w:rPr>
            </w:pPr>
            <w:hyperlink r:id="rId7">
              <w:r w:rsidDel="00000000" w:rsidR="00000000" w:rsidRPr="00000000">
                <w:rPr>
                  <w:rFonts w:ascii="Comfortaa" w:cs="Comfortaa" w:eastAsia="Comfortaa" w:hAnsi="Comfortaa"/>
                  <w:b w:val="1"/>
                  <w:bCs w:val="1"/>
                  <w:color w:val="1155cc"/>
                  <w:u w:val="single"/>
                  <w:rtl w:val="0"/>
                </w:rPr>
                <w:t xml:space="preserve">Rhetorical Context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ind w:left="0" w:firstLine="0"/>
              <w:jc w:val="left"/>
              <w:rPr>
                <w:rFonts w:ascii="Comfortaa" w:cs="Comfortaa" w:eastAsia="Comfortaa" w:hAnsi="Comfortaa"/>
                <w:b w:val="1"/>
                <w:bCs w:val="1"/>
                <w:color w:val="cc000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color w:val="cc0000"/>
                <w:rtl w:val="0"/>
              </w:rPr>
              <w:t xml:space="preserve">Author (Why are they credible?)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ind w:left="0" w:firstLine="0"/>
              <w:jc w:val="left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ind w:left="0" w:firstLine="0"/>
              <w:jc w:val="left"/>
              <w:rPr>
                <w:rFonts w:ascii="Comfortaa" w:cs="Comfortaa" w:eastAsia="Comfortaa" w:hAnsi="Comfortaa"/>
                <w:b w:val="1"/>
                <w:bCs w:val="1"/>
                <w:color w:val="38761d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color w:val="38761d"/>
                <w:rtl w:val="0"/>
              </w:rPr>
              <w:t xml:space="preserve">Audience (Who is the author speaking to?) 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ind w:left="0" w:firstLine="0"/>
              <w:jc w:val="left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ind w:left="0" w:firstLine="0"/>
              <w:jc w:val="left"/>
              <w:rPr>
                <w:rFonts w:ascii="Comfortaa" w:cs="Comfortaa" w:eastAsia="Comfortaa" w:hAnsi="Comfortaa"/>
                <w:b w:val="1"/>
                <w:bCs w:val="1"/>
                <w:color w:val="9900ff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color w:val="9900ff"/>
                <w:rtl w:val="0"/>
              </w:rPr>
              <w:t xml:space="preserve">Setting (What is happening in the world that makes this text relevant?)</w:t>
            </w:r>
          </w:p>
          <w:p w:rsidR="00000000" w:rsidDel="00000000" w:rsidP="00000000" w:rsidRDefault="00000000" w:rsidRPr="00000000" w14:paraId="00000011">
            <w:pPr>
              <w:spacing w:after="200" w:line="276" w:lineRule="auto"/>
              <w:ind w:left="0" w:firstLine="0"/>
              <w:jc w:val="left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200" w:line="276" w:lineRule="auto"/>
              <w:ind w:left="0" w:firstLine="0"/>
              <w:jc w:val="left"/>
              <w:rPr>
                <w:rFonts w:ascii="Comfortaa" w:cs="Comfortaa" w:eastAsia="Comfortaa" w:hAnsi="Comfortaa"/>
                <w:b w:val="1"/>
                <w:bCs w:val="1"/>
                <w:color w:val="ff990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color w:val="ff9900"/>
                <w:rtl w:val="0"/>
              </w:rPr>
              <w:t xml:space="preserve">Purpose (Persuade, Inform, Entertain)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3">
            <w:pPr>
              <w:spacing w:after="200" w:line="276" w:lineRule="auto"/>
              <w:jc w:val="center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rtl w:val="0"/>
              </w:rPr>
              <w:t xml:space="preserve">Reaction/ Response/Analysis</w:t>
            </w:r>
          </w:p>
          <w:p w:rsidR="00000000" w:rsidDel="00000000" w:rsidP="00000000" w:rsidRDefault="00000000" w:rsidRPr="00000000" w14:paraId="00000014">
            <w:pPr>
              <w:spacing w:after="200" w:line="276" w:lineRule="auto"/>
              <w:jc w:val="center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rtl w:val="0"/>
              </w:rPr>
              <w:t xml:space="preserve">**3 sentence minimum**</w:t>
            </w:r>
          </w:p>
          <w:p w:rsidR="00000000" w:rsidDel="00000000" w:rsidP="00000000" w:rsidRDefault="00000000" w:rsidRPr="00000000" w14:paraId="00000015">
            <w:pPr>
              <w:spacing w:after="200" w:line="276" w:lineRule="auto"/>
              <w:jc w:val="center"/>
              <w:rPr>
                <w:rFonts w:ascii="Comfortaa" w:cs="Comfortaa" w:eastAsia="Comfortaa" w:hAnsi="Comfortaa"/>
                <w:b w:val="1"/>
                <w:bCs w:val="1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rtl w:val="0"/>
              </w:rPr>
              <w:t xml:space="preserve">Why are you intrigued by this passage? Explain how the passage functions as the named Rhetorical Device(s)?  What are your thoughts/questions as they relate to the passage?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21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029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4.</w:t>
            </w:r>
          </w:p>
          <w:p w:rsidR="00000000" w:rsidDel="00000000" w:rsidP="00000000" w:rsidRDefault="00000000" w:rsidRPr="00000000" w14:paraId="00000031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5.</w:t>
            </w:r>
          </w:p>
          <w:p w:rsidR="00000000" w:rsidDel="00000000" w:rsidP="00000000" w:rsidRDefault="00000000" w:rsidRPr="00000000" w14:paraId="00000039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6.</w:t>
            </w:r>
          </w:p>
          <w:p w:rsidR="00000000" w:rsidDel="00000000" w:rsidP="00000000" w:rsidRDefault="00000000" w:rsidRPr="00000000" w14:paraId="00000041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7.</w:t>
            </w:r>
          </w:p>
          <w:p w:rsidR="00000000" w:rsidDel="00000000" w:rsidP="00000000" w:rsidRDefault="00000000" w:rsidRPr="00000000" w14:paraId="00000048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8.</w:t>
            </w:r>
          </w:p>
          <w:p w:rsidR="00000000" w:rsidDel="00000000" w:rsidP="00000000" w:rsidRDefault="00000000" w:rsidRPr="00000000" w14:paraId="0000004F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9.</w:t>
            </w:r>
          </w:p>
          <w:p w:rsidR="00000000" w:rsidDel="00000000" w:rsidP="00000000" w:rsidRDefault="00000000" w:rsidRPr="00000000" w14:paraId="00000058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10.</w:t>
            </w:r>
          </w:p>
          <w:p w:rsidR="00000000" w:rsidDel="00000000" w:rsidP="00000000" w:rsidRDefault="00000000" w:rsidRPr="00000000" w14:paraId="00000061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11.</w:t>
            </w:r>
          </w:p>
          <w:p w:rsidR="00000000" w:rsidDel="00000000" w:rsidP="00000000" w:rsidRDefault="00000000" w:rsidRPr="00000000" w14:paraId="0000006A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12.</w:t>
            </w:r>
          </w:p>
          <w:p w:rsidR="00000000" w:rsidDel="00000000" w:rsidP="00000000" w:rsidRDefault="00000000" w:rsidRPr="00000000" w14:paraId="00000074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17.</w:t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18.</w:t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19.</w:t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spacing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4"/>
                <w:szCs w:val="24"/>
                <w:rtl w:val="0"/>
              </w:rPr>
              <w:t xml:space="preserve">20.</w:t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after="200" w:line="276" w:lineRule="auto"/>
              <w:rPr>
                <w:rFonts w:ascii="Comfortaa" w:cs="Comfortaa" w:eastAsia="Comfortaa" w:hAnsi="Comforta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spacing w:after="200" w:line="276" w:lineRule="auto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Comfortaa" w:cs="Comfortaa" w:eastAsia="Comfortaa" w:hAnsi="Comfortaa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omfortaa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spacing w:line="276" w:lineRule="auto"/>
      <w:rPr/>
    </w:pPr>
    <w:r w:rsidDel="00000000" w:rsidR="00000000" w:rsidRPr="00000000">
      <w:rPr>
        <w:rFonts w:ascii="Lato" w:cs="Lato" w:eastAsia="Lato" w:hAnsi="Lato"/>
        <w:rtl w:val="0"/>
      </w:rPr>
      <w:t xml:space="preserve">Ink and Empathy: Bridging Borders Through Letters                                                                             </w:t>
      <w:tab/>
      <w:t xml:space="preserve">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6600825</wp:posOffset>
          </wp:positionH>
          <wp:positionV relativeFrom="paragraph">
            <wp:posOffset>-9524</wp:posOffset>
          </wp:positionV>
          <wp:extent cx="1527137" cy="20028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27137" cy="2002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9">
    <w:pPr>
      <w:spacing w:line="276" w:lineRule="auto"/>
      <w:rPr>
        <w:rFonts w:ascii="Lato" w:cs="Lato" w:eastAsia="Lato" w:hAnsi="Lato"/>
      </w:rPr>
    </w:pPr>
    <w:r w:rsidDel="00000000" w:rsidR="00000000" w:rsidRPr="00000000">
      <w:rPr>
        <w:rFonts w:ascii="Lato" w:cs="Lato" w:eastAsia="Lato" w:hAnsi="Lato"/>
        <w:color w:val="666666"/>
        <w:rtl w:val="0"/>
      </w:rPr>
      <w:t xml:space="preserve">Materials by Heather Ingram, a Spring 2025 Pulitzer Center Teacher Fellow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A">
    <w:pPr>
      <w:spacing w:line="276" w:lineRule="auto"/>
      <w:rPr>
        <w:rFonts w:ascii="Lato" w:cs="Lato" w:eastAsia="Lato" w:hAnsi="Lato"/>
        <w:color w:val="666666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pressbooks.ulib.csuohio.edu/csu-fyw-rhetoric/chapter/rhetorical-strategies-building-compelling-arguments/" TargetMode="External"/><Relationship Id="rId7" Type="http://schemas.openxmlformats.org/officeDocument/2006/relationships/hyperlink" Target="https://pressbooks.ulib.csuohio.edu/csu-fyw-rhetoric/chapter/rhetorical-situation-the-context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5" Type="http://schemas.openxmlformats.org/officeDocument/2006/relationships/font" Target="fonts/Comfortaa-regular.ttf"/><Relationship Id="rId6" Type="http://schemas.openxmlformats.org/officeDocument/2006/relationships/font" Target="fonts/Comforta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