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2985"/>
        <w:gridCol w:w="2250"/>
        <w:gridCol w:w="2160"/>
        <w:gridCol w:w="1965"/>
        <w:tblGridChange w:id="0">
          <w:tblGrid>
            <w:gridCol w:w="1560"/>
            <w:gridCol w:w="2985"/>
            <w:gridCol w:w="2250"/>
            <w:gridCol w:w="2160"/>
            <w:gridCol w:w="19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 – Exceeds Expectations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 – Meets Expectations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 – 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 – Beginning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Content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Students demonstrate a deep understanding of Dr. Qadri’s work and global health issues (cholera, clean water, vaccines). Includes accurate, detailed facts and clear global connections.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Shows solid understanding of key ideas about Dr. Qadri and health inequalities; most facts are accurate and relevant.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Shows a basic understanding with some inaccuracies or missing details about health issues or Dr. Qadri’s work.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Shows limited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; information is inaccurate, vague, or incomplete.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Connection to Global and Local Contexts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Clearly explains how global health issues connect to local or community challenges (e.g., Maine or a student's own town). Offers meaningful examples or calls to action.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Explains at least one global/local connection clearly and accurately.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Mentions a local or global connection but lacks explanation or depth.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 a clear link between global and local health contexts.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Creativity and Communication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Uses visuals, layout, and multimedia elements in highly engaging and original ways. The message is powerful and persuasive.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Used visuals and text effectively to communicate ideas. The message is clear and appropriate.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some visuals or multimedia, but they are inconsistent or unclear. Messages may be hard to follow.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Minimal creativity or organization. Visuals or text do not effectively communicate a message.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Evidence and Sources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multiple accurate facts or quotes from the Pulitzer Center article and other credible sources. All sources are cited correctly.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at least one accurate quote or fact from the Pulitzer Center article and cites sources.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Includes limited or unclear evidence; citations are incomplete.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Little evidence from credible sources or does not cite information.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Collaboration and Effort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group works collaboratively and equitably; all members contribute meaningfully. Final product shows exceptional effort and care.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Group collaborates effectively; most members contribute. Final product shows good effort.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Some collaboration is evident, but contributions are uneven.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Little evidence of collaboration; one or two members complete most of the work.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Call to Action / Impact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Campaign includes a clear, realistic, and inspiring call to action for improving community or global health.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Campaign includes a clear call to action related to clean water, vaccines, or health equity.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Call to action is vague or unrealistic.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call to action included.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Lato" w:cs="Lato" w:eastAsia="Lato" w:hAnsi="Lato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hyperlink r:id="rId6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Student-Friendly Version Rubric   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>
        <w:rFonts w:ascii="Lato" w:cs="Lato" w:eastAsia="Lato" w:hAnsi="Lato"/>
        <w:b w:val="1"/>
        <w:bCs w:val="1"/>
        <w:color w:val="666666"/>
      </w:rPr>
    </w:pPr>
    <w:r w:rsidDel="00000000" w:rsidR="00000000" w:rsidRPr="00000000">
      <w:rPr>
        <w:rFonts w:ascii="Lato" w:cs="Lato" w:eastAsia="Lato" w:hAnsi="Lato"/>
        <w:b w:val="1"/>
        <w:bCs w:val="1"/>
        <w:rtl w:val="0"/>
      </w:rPr>
      <w:t xml:space="preserve">Clean Water Heroes: Inspiring Change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-114299</wp:posOffset>
          </wp:positionV>
          <wp:extent cx="1833563" cy="23879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3563" cy="238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Lesson</w:t>
    </w:r>
    <w:r w:rsidDel="00000000" w:rsidR="00000000" w:rsidRPr="00000000">
      <w:rPr>
        <w:rFonts w:ascii="Lato" w:cs="Lato" w:eastAsia="Lato" w:hAnsi="Lato"/>
        <w:color w:val="666666"/>
        <w:rtl w:val="0"/>
      </w:rPr>
      <w:t xml:space="preserve"> by Amanda Bryant, a Fall 2025 Pulitzer Center Teacher Fellow</w:t>
    </w:r>
  </w:p>
  <w:p w:rsidR="00000000" w:rsidDel="00000000" w:rsidP="00000000" w:rsidRDefault="00000000" w:rsidRPr="00000000" w14:paraId="00000029">
    <w:pPr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line="240" w:lineRule="auto"/>
      <w:jc w:val="center"/>
    </w:pPr>
    <w:rPr>
      <w:rFonts w:ascii="Lato" w:cs="Lato" w:eastAsia="Lato" w:hAnsi="Lato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jc w:val="center"/>
    </w:pPr>
    <w:rPr>
      <w:rFonts w:ascii="Lato" w:cs="Lato" w:eastAsia="Lato" w:hAnsi="Lato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ulitzercenter.org/sites/default/files/2026-03/Clean%20Water%20Heroes%20-%20Campaign%20Rubric%20Student%20Friendly%20Version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