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Can GMOs be part of a healthy diet? Infographic Rubric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15.333691406249983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Georgia" w:cs="Georgia" w:eastAsia="Georgia" w:hAnsi="Georgia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Students will be able to write a claim.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Georgia" w:cs="Georgia" w:eastAsia="Georgia" w:hAnsi="Georgia"/>
              </w:rPr>
            </w:pPr>
            <w:bookmarkStart w:colFirst="0" w:colLast="0" w:name="_34ricxls93f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Georgia" w:cs="Georgia" w:eastAsia="Georgia" w:hAnsi="Georgia"/>
              </w:rPr>
            </w:pPr>
            <w:bookmarkStart w:colFirst="0" w:colLast="0" w:name="_vzecq2vsnx0g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addresses the question.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addresses the question,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but claim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is unclear.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addresses a different question.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does not address the question.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Did not attempt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Georgia" w:cs="Georgia" w:eastAsia="Georgia" w:hAnsi="Georgia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Students will be able to defend their claim with arguments from the text.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more than two reasons from the text to support their claim.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two reasons from the text to support their claim.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one reason from the text to support their claim.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no reasons from the text to support their claim.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Did not attempt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Georgia" w:cs="Georgia" w:eastAsia="Georgia" w:hAnsi="Georgia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Students use statistics to support their claim.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more than two statistics from the text to support their claim. 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 uses two statistics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from the text to support their claim.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one statistic from the text to support their claim.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no statistics from the text to support their claim. 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Did not attempt</w:t>
            </w:r>
          </w:p>
        </w:tc>
      </w:tr>
      <w:tr>
        <w:trPr>
          <w:cantSplit w:val="0"/>
          <w:trHeight w:val="1130.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Georgia" w:cs="Georgia" w:eastAsia="Georgia" w:hAnsi="Georgia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will be able to use images and phrases to convey a message. 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successfully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images aligned to their claim. 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images aligned to their claim with some clarity.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images aligned to their claim with minimal clarity.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Student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uses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images that do not align with their claim.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Did not attempt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Name: </w:t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76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b w:val="1"/>
        <w:color w:val="666666"/>
        <w:rtl w:val="0"/>
      </w:rPr>
      <w:t xml:space="preserve">Genetically Modified Organisms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5981700</wp:posOffset>
          </wp:positionH>
          <wp:positionV relativeFrom="paragraph">
            <wp:posOffset>-95249</wp:posOffset>
          </wp:positionV>
          <wp:extent cx="2043113" cy="2648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after="200" w:line="276" w:lineRule="auto"/>
      <w:rPr/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Shanna Pierce, part of the Fall 2024 Pulitzer Center Teacher Fellowship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