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5295"/>
        <w:tblGridChange w:id="0">
          <w:tblGrid>
            <w:gridCol w:w="4680"/>
            <w:gridCol w:w="52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eorgia" w:cs="Georgia" w:eastAsia="Georgia" w:hAnsi="Georg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Interview: Plastics and Global Health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Interviewer: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Interviewee: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Question1: What social justice issues arise from plastic production and pollution, and which populations are most affected by these issues?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Response: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Question 2: How does plastic pollution impact marine ecosystems and human health, especially concerning microplastic and nanoplastic particles?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Question 3: Considering Hawaii’s challenges with plastic pollution, what lessons from the conditions in the Kpone Landfill could be applied to improve waste management practices here?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Question 4: Identify two potential solutions or strategies that could help address the health impacts of plastic pollution in affected communities.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Question 5: Write your one question. 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Plastics, Bioplastics, and Health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-114299</wp:posOffset>
          </wp:positionV>
          <wp:extent cx="2043113" cy="2648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rPr>
        <w:rFonts w:ascii="Georgia" w:cs="Georgia" w:eastAsia="Georgia" w:hAnsi="Georgia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Beatriz Ramos Jimenez, part of the Fall 2024 Pulitzer Center Teacher Fellowship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