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before="60" w:line="360" w:lineRule="auto"/>
        <w:ind w:right="360"/>
        <w:jc w:val="center"/>
        <w:rPr>
          <w:rFonts w:ascii="Lato" w:cs="Lato" w:eastAsia="Lato" w:hAnsi="Lato"/>
          <w:b w:val="1"/>
          <w:color w:val="1f1f1f"/>
          <w:sz w:val="28"/>
          <w:szCs w:val="28"/>
        </w:rPr>
      </w:pPr>
      <w:bookmarkStart w:colFirst="0" w:colLast="0" w:name="_egjxqbuc5e7m" w:id="0"/>
      <w:bookmarkEnd w:id="0"/>
      <w:r w:rsidDel="00000000" w:rsidR="00000000" w:rsidRPr="00000000">
        <w:rPr>
          <w:rFonts w:ascii="Lato" w:cs="Lato" w:eastAsia="Lato" w:hAnsi="Lato"/>
          <w:b w:val="1"/>
          <w:color w:val="1f1f1f"/>
          <w:sz w:val="28"/>
          <w:szCs w:val="28"/>
          <w:rtl w:val="0"/>
        </w:rPr>
        <w:t xml:space="preserve">Discussion Grading Rubric: AI in Public Education</w:t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before="60" w:line="360" w:lineRule="auto"/>
        <w:ind w:right="360"/>
        <w:rPr>
          <w:rFonts w:ascii="Lato" w:cs="Lato" w:eastAsia="Lato" w:hAnsi="Lato"/>
          <w:b w:val="1"/>
          <w:color w:val="1f1f1f"/>
          <w:sz w:val="26"/>
          <w:szCs w:val="26"/>
        </w:rPr>
      </w:pPr>
      <w:bookmarkStart w:colFirst="0" w:colLast="0" w:name="_r0xhyhvokd3m" w:id="1"/>
      <w:bookmarkEnd w:id="1"/>
      <w:r w:rsidDel="00000000" w:rsidR="00000000" w:rsidRPr="00000000">
        <w:rPr>
          <w:rFonts w:ascii="Lato" w:cs="Lato" w:eastAsia="Lato" w:hAnsi="Lato"/>
          <w:b w:val="1"/>
          <w:color w:val="1f1f1f"/>
          <w:sz w:val="26"/>
          <w:szCs w:val="26"/>
          <w:rtl w:val="0"/>
        </w:rPr>
        <w:t xml:space="preserve">Name of Speaker Being Graded: _________________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bottom w:color="1f1f1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Excellent (4 pts)</w:t>
            </w:r>
          </w:p>
        </w:tc>
        <w:tc>
          <w:tcPr>
            <w:tcBorders>
              <w:bottom w:color="1f1f1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Good (3 pts)</w:t>
            </w:r>
          </w:p>
        </w:tc>
        <w:tc>
          <w:tcPr>
            <w:tcBorders>
              <w:bottom w:color="1f1f1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Fair (2 pts)</w:t>
            </w:r>
          </w:p>
        </w:tc>
        <w:tc>
          <w:tcPr>
            <w:tcBorders>
              <w:bottom w:color="1f1f1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Poor (1 pt)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Analysis of Positive Concerns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Total Score: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Identifies and articulates well-supported arguments for the positive impact of AI on public education, considering factors like equity, engagement, and teacher workload.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Presents some valid arguments for the positive impact of AI, but lacks comprehensive evidence or analysis.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Offers generic or poorly defined positive impacts of AI without clear explanation or reasoning.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Fails to identify or adequately discuss any positive impacts of AI on public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education.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Analysis of Negative Concerns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Total Score: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Identifies and articulates well-supported arguments for the positive impact of AI on public education, considering factors like equity, engagement, and teacher workload.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Presents some valid arguments for the positive impact of AI, but lacks comprehensive evidence or analysis.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Offers generic or poorly defined positive impacts of AI without clear explanation or reasoning.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Fails to identify or adequately discuss any positive impacts of AI on public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education.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Consideration of Unexpected Concerns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Total Score: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Goes beyond common concerns to delve into unexpected or less-discussed issues related to AI in public education, demonstrating originality and critical thinking.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Briefly mentions some unexpected concerns, but lacks significant exploration or analysis.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Fails to identify or discuss any unexpected concerns, sticking only to mainstream issues.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0.0000000000005" w:hRule="atLeast"/>
          <w:tblHeader w:val="0"/>
        </w:trPr>
        <w:tc>
          <w:tcPr>
            <w:tcBorders>
              <w:right w:color="1f1f1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Evidence and Research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Total Score: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Supports arguments with relevant and credible sources, including research articles, expert opinions, and case studies.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Uses some sources to support arguments, but they may be limited in scope or credibility.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Relies on personal opinions or anecdotal evidence with minimal external support.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Lacks any supporting evidence or relies on unreliable sources.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Argument, Clarity and Organization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Total Score: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Presents arguments in a clear, concise, and well-organized manner, demonstrating effective use of logic and transitions.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Arguments are generally clear and organized, but may lack some sophistication or flow.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Arguments are poorly organized or confusing, making it difficult to follow the reasoning.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Arguments are unclear, illogical, or poorly structured.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1f1f1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Presentation and Engagement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Total Score: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20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Delivers the presentation with confidence and clarity, effectively engaging the audience through visuals, questions, and interactive elements.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Presents the information in a clear and engaging manner, but may lack some polish or audience interaction.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Presentation is hesitant, disorganized, or lacks engagement with the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  <w:left w:color="1f1f1f" w:space="0" w:sz="8" w:val="single"/>
              <w:bottom w:color="1f1f1f" w:space="0" w:sz="8" w:val="single"/>
              <w:right w:color="1f1f1f" w:space="0" w:sz="8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ind w:right="360"/>
              <w:rPr>
                <w:rFonts w:ascii="Lato" w:cs="Lato" w:eastAsia="Lato" w:hAnsi="Lato"/>
                <w:color w:val="1f1f1f"/>
              </w:rPr>
            </w:pPr>
            <w:r w:rsidDel="00000000" w:rsidR="00000000" w:rsidRPr="00000000">
              <w:rPr>
                <w:rFonts w:ascii="Lato" w:cs="Lato" w:eastAsia="Lato" w:hAnsi="Lato"/>
                <w:color w:val="1f1f1f"/>
                <w:rtl w:val="0"/>
              </w:rPr>
              <w:t xml:space="preserve">Delivers the presentation poorly or fails to meaningfully engage the audience.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Total # of points x 4 =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_____________________</w:t>
            </w:r>
          </w:p>
        </w:tc>
        <w:tc>
          <w:tcPr>
            <w:tcBorders>
              <w:top w:color="1f1f1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1f1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before="60" w:line="360" w:lineRule="auto"/>
        <w:ind w:right="360"/>
        <w:rPr>
          <w:rFonts w:ascii="Lato" w:cs="Lato" w:eastAsia="Lato" w:hAnsi="Lato"/>
          <w:b w:val="1"/>
          <w:color w:val="1f1f1f"/>
          <w:sz w:val="24"/>
          <w:szCs w:val="24"/>
        </w:rPr>
      </w:pPr>
      <w:bookmarkStart w:colFirst="0" w:colLast="0" w:name="_h0ajl0fc1hx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jc w:val="right"/>
      <w:rPr>
        <w:rFonts w:ascii="Lato" w:cs="Lato" w:eastAsia="Lato" w:hAnsi="Lato"/>
        <w:sz w:val="24"/>
        <w:szCs w:val="24"/>
      </w:rPr>
    </w:pPr>
    <w:r w:rsidDel="00000000" w:rsidR="00000000" w:rsidRPr="00000000">
      <w:rPr>
        <w:rFonts w:ascii="Lato" w:cs="Lato" w:eastAsia="Lato" w:hAnsi="Lato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ato" w:cs="Lato" w:eastAsia="Lato" w:hAnsi="Lato"/>
        <w:sz w:val="24"/>
        <w:szCs w:val="24"/>
        <w:rtl w:val="0"/>
      </w:rPr>
      <w:t xml:space="preserve"> of 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7350125</wp:posOffset>
          </wp:positionH>
          <wp:positionV relativeFrom="paragraph">
            <wp:posOffset>32339</wp:posOffset>
          </wp:positionV>
          <wp:extent cx="1719263" cy="22462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22462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spacing w:line="240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rtl w:val="0"/>
      </w:rPr>
      <w:t xml:space="preserve">How Social Sentinel Crossed Student Privacy Rights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spacing w:after="200" w:line="276" w:lineRule="auto"/>
      <w:rPr>
        <w:rFonts w:ascii="Lato" w:cs="Lato" w:eastAsia="Lato" w:hAnsi="Lato"/>
        <w:color w:val="666666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Materials by Jean Darnell, part of the 2023-2024 Pulitzer Center Teacher Fellowship</w:t>
    </w:r>
  </w:p>
  <w:p w:rsidR="00000000" w:rsidDel="00000000" w:rsidP="00000000" w:rsidRDefault="00000000" w:rsidRPr="00000000" w14:paraId="00000062">
    <w:pPr>
      <w:spacing w:after="200"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