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color w:val="4472c4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472c4"/>
          <w:sz w:val="36"/>
          <w:szCs w:val="36"/>
          <w:rtl w:val="0"/>
        </w:rPr>
        <w:t xml:space="preserve">Wright’s Close Reading Guide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color w:val="4472c4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b w:val="1"/>
          <w:color w:val="4472c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472c4"/>
          <w:sz w:val="24"/>
          <w:szCs w:val="24"/>
          <w:rtl w:val="0"/>
        </w:rPr>
        <w:t xml:space="preserve">Before Reading Activity!</w:t>
      </w:r>
    </w:p>
    <w:tbl>
      <w:tblPr>
        <w:tblStyle w:val="Table1"/>
        <w:tblW w:w="9445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45"/>
        <w:tblGridChange w:id="0">
          <w:tblGrid>
            <w:gridCol w:w="9445"/>
          </w:tblGrid>
        </w:tblGridChange>
      </w:tblGrid>
      <w:tr>
        <w:trPr>
          <w:cantSplit w:val="0"/>
          <w:trHeight w:val="1313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hd w:fill="ffffff" w:val="clear"/>
              <w:spacing w:after="270" w:lineRule="auto"/>
              <w:jc w:val="center"/>
              <w:rPr>
                <w:rFonts w:ascii="Century Gothic" w:cs="Century Gothic" w:eastAsia="Century Gothic" w:hAnsi="Century Gothic"/>
                <w:b w:val="1"/>
                <w:color w:val="4472c4"/>
                <w:sz w:val="27"/>
                <w:szCs w:val="27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4472c4"/>
                <w:sz w:val="56"/>
                <w:szCs w:val="56"/>
                <w:rtl w:val="0"/>
              </w:rPr>
              <w:t xml:space="preserve">Answer the questions below.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hd w:fill="ffffff" w:val="clear"/>
              <w:spacing w:after="270" w:lineRule="auto"/>
              <w:jc w:val="both"/>
              <w:rPr>
                <w:rFonts w:ascii="Century Gothic" w:cs="Century Gothic" w:eastAsia="Century Gothic" w:hAnsi="Century Gothic"/>
                <w:b w:val="1"/>
                <w:color w:val="4472c4"/>
                <w:sz w:val="27"/>
                <w:szCs w:val="27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4472c4"/>
                <w:sz w:val="27"/>
                <w:szCs w:val="27"/>
                <w:rtl w:val="0"/>
              </w:rPr>
              <w:t xml:space="preserve">Make a prediction about the text based on what you know about it before reading: </w:t>
            </w:r>
          </w:p>
          <w:p w:rsidR="00000000" w:rsidDel="00000000" w:rsidP="00000000" w:rsidRDefault="00000000" w:rsidRPr="00000000" w14:paraId="00000006">
            <w:pPr>
              <w:shd w:fill="ffffff" w:val="clear"/>
              <w:spacing w:after="270" w:lineRule="auto"/>
              <w:jc w:val="both"/>
              <w:rPr>
                <w:rFonts w:ascii="Century Gothic" w:cs="Century Gothic" w:eastAsia="Century Gothic" w:hAnsi="Century Gothic"/>
                <w:b w:val="1"/>
                <w:color w:val="4472c4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hd w:fill="ffffff" w:val="clear"/>
              <w:spacing w:after="270" w:lineRule="auto"/>
              <w:jc w:val="both"/>
              <w:rPr>
                <w:rFonts w:ascii="Century Gothic" w:cs="Century Gothic" w:eastAsia="Century Gothic" w:hAnsi="Century Gothic"/>
                <w:b w:val="1"/>
                <w:color w:val="4472c4"/>
                <w:sz w:val="27"/>
                <w:szCs w:val="27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4472c4"/>
                <w:sz w:val="27"/>
                <w:szCs w:val="27"/>
                <w:rtl w:val="0"/>
              </w:rPr>
              <w:t xml:space="preserve">What does the title suggest the story or article might be about?</w:t>
            </w:r>
          </w:p>
          <w:p w:rsidR="00000000" w:rsidDel="00000000" w:rsidP="00000000" w:rsidRDefault="00000000" w:rsidRPr="00000000" w14:paraId="00000008">
            <w:pPr>
              <w:shd w:fill="ffffff" w:val="clear"/>
              <w:spacing w:after="270" w:lineRule="auto"/>
              <w:jc w:val="both"/>
              <w:rPr>
                <w:rFonts w:ascii="Century Gothic" w:cs="Century Gothic" w:eastAsia="Century Gothic" w:hAnsi="Century Gothic"/>
                <w:b w:val="1"/>
                <w:color w:val="4472c4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hd w:fill="ffffff" w:val="clear"/>
              <w:spacing w:after="270" w:lineRule="auto"/>
              <w:jc w:val="both"/>
              <w:rPr>
                <w:rFonts w:ascii="Century Gothic" w:cs="Century Gothic" w:eastAsia="Century Gothic" w:hAnsi="Century Gothic"/>
                <w:b w:val="1"/>
                <w:color w:val="4472c4"/>
                <w:sz w:val="27"/>
                <w:szCs w:val="27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4472c4"/>
                <w:sz w:val="27"/>
                <w:szCs w:val="27"/>
                <w:rtl w:val="0"/>
              </w:rPr>
              <w:t xml:space="preserve">What do you know about the author, if anything? </w:t>
            </w:r>
          </w:p>
          <w:p w:rsidR="00000000" w:rsidDel="00000000" w:rsidP="00000000" w:rsidRDefault="00000000" w:rsidRPr="00000000" w14:paraId="0000000A">
            <w:pPr>
              <w:shd w:fill="ffffff" w:val="clear"/>
              <w:spacing w:after="270" w:lineRule="auto"/>
              <w:jc w:val="both"/>
              <w:rPr>
                <w:rFonts w:ascii="Century Gothic" w:cs="Century Gothic" w:eastAsia="Century Gothic" w:hAnsi="Century Gothic"/>
                <w:b w:val="1"/>
                <w:color w:val="4472c4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hd w:fill="ffffff" w:val="clear"/>
              <w:spacing w:after="270" w:lineRule="auto"/>
              <w:jc w:val="both"/>
              <w:rPr>
                <w:rFonts w:ascii="Century Gothic" w:cs="Century Gothic" w:eastAsia="Century Gothic" w:hAnsi="Century Gothic"/>
                <w:b w:val="1"/>
                <w:color w:val="4472c4"/>
                <w:sz w:val="27"/>
                <w:szCs w:val="27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4472c4"/>
                <w:sz w:val="27"/>
                <w:szCs w:val="27"/>
                <w:rtl w:val="0"/>
              </w:rPr>
              <w:t xml:space="preserve">Have you read anything by this author before? </w:t>
            </w:r>
          </w:p>
          <w:p w:rsidR="00000000" w:rsidDel="00000000" w:rsidP="00000000" w:rsidRDefault="00000000" w:rsidRPr="00000000" w14:paraId="0000000C">
            <w:pPr>
              <w:shd w:fill="ffffff" w:val="clear"/>
              <w:spacing w:after="270" w:lineRule="auto"/>
              <w:jc w:val="both"/>
              <w:rPr>
                <w:rFonts w:ascii="Century Gothic" w:cs="Century Gothic" w:eastAsia="Century Gothic" w:hAnsi="Century Gothic"/>
                <w:b w:val="1"/>
                <w:color w:val="4472c4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b w:val="1"/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b w:val="1"/>
          <w:color w:val="4472c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472c4"/>
          <w:sz w:val="24"/>
          <w:szCs w:val="24"/>
          <w:rtl w:val="0"/>
        </w:rPr>
        <w:t xml:space="preserve">First Reading!!!</w:t>
      </w:r>
    </w:p>
    <w:p w:rsidR="00000000" w:rsidDel="00000000" w:rsidP="00000000" w:rsidRDefault="00000000" w:rsidRPr="00000000" w14:paraId="0000000F">
      <w:pPr>
        <w:rPr>
          <w:rFonts w:ascii="Comic Sans MS" w:cs="Comic Sans MS" w:eastAsia="Comic Sans MS" w:hAnsi="Comic Sans MS"/>
          <w:b w:val="1"/>
          <w:color w:val="4472c4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7"/>
          <w:szCs w:val="27"/>
          <w:highlight w:val="white"/>
          <w:rtl w:val="0"/>
        </w:rPr>
        <w:t xml:space="preserve">On the first reading, write the words they don’t understand in the box below. Look up these words in the dictionary and include a definition and a synonym and place the sy</w:t>
      </w:r>
      <w:r w:rsidDel="00000000" w:rsidR="00000000" w:rsidRPr="00000000">
        <w:rPr>
          <w:rFonts w:ascii="Century Gothic" w:cs="Century Gothic" w:eastAsia="Century Gothic" w:hAnsi="Century Gothic"/>
          <w:sz w:val="27"/>
          <w:szCs w:val="27"/>
          <w:highlight w:val="white"/>
          <w:rtl w:val="0"/>
        </w:rPr>
        <w:t xml:space="preserve">nonym that makes sense on top of the word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7"/>
          <w:szCs w:val="27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Comic Sans MS" w:cs="Comic Sans MS" w:eastAsia="Comic Sans MS" w:hAnsi="Comic Sans MS"/>
                <w:b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4472c4"/>
                <w:sz w:val="24"/>
                <w:szCs w:val="24"/>
                <w:rtl w:val="0"/>
              </w:rPr>
              <w:t xml:space="preserve">New Word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omic Sans MS" w:cs="Comic Sans MS" w:eastAsia="Comic Sans MS" w:hAnsi="Comic Sans MS"/>
                <w:b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4472c4"/>
                <w:sz w:val="24"/>
                <w:szCs w:val="24"/>
                <w:rtl w:val="0"/>
              </w:rPr>
              <w:t xml:space="preserve">Definition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Comic Sans MS" w:cs="Comic Sans MS" w:eastAsia="Comic Sans MS" w:hAnsi="Comic Sans MS"/>
                <w:b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4472c4"/>
                <w:sz w:val="24"/>
                <w:szCs w:val="24"/>
                <w:rtl w:val="0"/>
              </w:rPr>
              <w:t xml:space="preserve">Synonym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Comic Sans MS" w:cs="Comic Sans MS" w:eastAsia="Comic Sans MS" w:hAnsi="Comic Sans MS"/>
                <w:b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omic Sans MS" w:cs="Comic Sans MS" w:eastAsia="Comic Sans MS" w:hAnsi="Comic Sans MS"/>
                <w:b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omic Sans MS" w:cs="Comic Sans MS" w:eastAsia="Comic Sans MS" w:hAnsi="Comic Sans MS"/>
                <w:b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Comic Sans MS" w:cs="Comic Sans MS" w:eastAsia="Comic Sans MS" w:hAnsi="Comic Sans MS"/>
                <w:b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omic Sans MS" w:cs="Comic Sans MS" w:eastAsia="Comic Sans MS" w:hAnsi="Comic Sans MS"/>
                <w:b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omic Sans MS" w:cs="Comic Sans MS" w:eastAsia="Comic Sans MS" w:hAnsi="Comic Sans MS"/>
                <w:b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Comic Sans MS" w:cs="Comic Sans MS" w:eastAsia="Comic Sans MS" w:hAnsi="Comic Sans MS"/>
                <w:b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omic Sans MS" w:cs="Comic Sans MS" w:eastAsia="Comic Sans MS" w:hAnsi="Comic Sans MS"/>
                <w:b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omic Sans MS" w:cs="Comic Sans MS" w:eastAsia="Comic Sans MS" w:hAnsi="Comic Sans MS"/>
                <w:b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omic Sans MS" w:cs="Comic Sans MS" w:eastAsia="Comic Sans MS" w:hAnsi="Comic Sans MS"/>
                <w:b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omic Sans MS" w:cs="Comic Sans MS" w:eastAsia="Comic Sans MS" w:hAnsi="Comic Sans MS"/>
                <w:b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omic Sans MS" w:cs="Comic Sans MS" w:eastAsia="Comic Sans MS" w:hAnsi="Comic Sans MS"/>
                <w:b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rFonts w:ascii="Comic Sans MS" w:cs="Comic Sans MS" w:eastAsia="Comic Sans MS" w:hAnsi="Comic Sans MS"/>
          <w:b w:val="1"/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omic Sans MS" w:cs="Comic Sans MS" w:eastAsia="Comic Sans MS" w:hAnsi="Comic Sans MS"/>
          <w:b w:val="1"/>
          <w:color w:val="4472c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472c4"/>
          <w:sz w:val="24"/>
          <w:szCs w:val="24"/>
          <w:rtl w:val="0"/>
        </w:rPr>
        <w:t xml:space="preserve">Second Reading </w:t>
      </w:r>
    </w:p>
    <w:p w:rsidR="00000000" w:rsidDel="00000000" w:rsidP="00000000" w:rsidRDefault="00000000" w:rsidRPr="00000000" w14:paraId="00000021">
      <w:pPr>
        <w:rPr>
          <w:rFonts w:ascii="Comic Sans MS" w:cs="Comic Sans MS" w:eastAsia="Comic Sans MS" w:hAnsi="Comic Sans MS"/>
          <w:b w:val="1"/>
          <w:color w:val="4472c4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7"/>
          <w:szCs w:val="27"/>
          <w:highlight w:val="white"/>
          <w:rtl w:val="0"/>
        </w:rPr>
        <w:t xml:space="preserve">Think about and identify the theme(literature) or central idea(informational text) and analyze the structure and craft below.</w:t>
      </w: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Comic Sans MS" w:cs="Comic Sans MS" w:eastAsia="Comic Sans MS" w:hAnsi="Comic Sans MS"/>
                <w:b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7"/>
                <w:szCs w:val="27"/>
                <w:highlight w:val="white"/>
                <w:rtl w:val="0"/>
              </w:rPr>
              <w:t xml:space="preserve">What is the focus on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7"/>
                <w:szCs w:val="27"/>
                <w:highlight w:val="white"/>
                <w:rtl w:val="0"/>
              </w:rPr>
              <w:t xml:space="preserve">? What are the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7"/>
                <w:szCs w:val="27"/>
                <w:highlight w:val="white"/>
                <w:rtl w:val="0"/>
              </w:rPr>
              <w:t xml:space="preserve"> important lessons?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omic Sans MS" w:cs="Comic Sans MS" w:eastAsia="Comic Sans MS" w:hAnsi="Comic Sans MS"/>
                <w:b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4472c4"/>
                <w:sz w:val="24"/>
                <w:szCs w:val="24"/>
                <w:rtl w:val="0"/>
              </w:rPr>
              <w:t xml:space="preserve">Theme or central idea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4472c4"/>
                <w:sz w:val="24"/>
                <w:szCs w:val="24"/>
                <w:rtl w:val="0"/>
              </w:rPr>
              <w:t xml:space="preserve">Structure and craft analysis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( literature: characterization, figurative language, literary devices), </w:t>
            </w:r>
          </w:p>
          <w:p w:rsidR="00000000" w:rsidDel="00000000" w:rsidP="00000000" w:rsidRDefault="00000000" w:rsidRPr="00000000" w14:paraId="00000025">
            <w:pPr>
              <w:rPr>
                <w:rFonts w:ascii="Comic Sans MS" w:cs="Comic Sans MS" w:eastAsia="Comic Sans MS" w:hAnsi="Comic Sans MS"/>
                <w:b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4472c4"/>
                <w:sz w:val="24"/>
                <w:szCs w:val="24"/>
                <w:rtl w:val="0"/>
              </w:rPr>
              <w:t xml:space="preserve">Informational text: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highlight w:val="white"/>
                <w:rtl w:val="0"/>
              </w:rPr>
              <w:t xml:space="preserve"> chronology, comparison, cause/effect, problem/ solution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Comic Sans MS" w:cs="Comic Sans MS" w:eastAsia="Comic Sans MS" w:hAnsi="Comic Sans MS"/>
                <w:b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omic Sans MS" w:cs="Comic Sans MS" w:eastAsia="Comic Sans MS" w:hAnsi="Comic Sans MS"/>
                <w:b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omic Sans MS" w:cs="Comic Sans MS" w:eastAsia="Comic Sans MS" w:hAnsi="Comic Sans MS"/>
                <w:b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Comic Sans MS" w:cs="Comic Sans MS" w:eastAsia="Comic Sans MS" w:hAnsi="Comic Sans MS"/>
                <w:b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omic Sans MS" w:cs="Comic Sans MS" w:eastAsia="Comic Sans MS" w:hAnsi="Comic Sans MS"/>
                <w:b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Comic Sans MS" w:cs="Comic Sans MS" w:eastAsia="Comic Sans MS" w:hAnsi="Comic Sans MS"/>
                <w:b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Comic Sans MS" w:cs="Comic Sans MS" w:eastAsia="Comic Sans MS" w:hAnsi="Comic Sans MS"/>
                <w:b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omic Sans MS" w:cs="Comic Sans MS" w:eastAsia="Comic Sans MS" w:hAnsi="Comic Sans MS"/>
                <w:b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omic Sans MS" w:cs="Comic Sans MS" w:eastAsia="Comic Sans MS" w:hAnsi="Comic Sans MS"/>
                <w:b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rFonts w:ascii="Comic Sans MS" w:cs="Comic Sans MS" w:eastAsia="Comic Sans MS" w:hAnsi="Comic Sans MS"/>
          <w:b w:val="1"/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omic Sans MS" w:cs="Comic Sans MS" w:eastAsia="Comic Sans MS" w:hAnsi="Comic Sans MS"/>
          <w:b w:val="1"/>
          <w:color w:val="4472c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472c4"/>
          <w:sz w:val="24"/>
          <w:szCs w:val="24"/>
          <w:rtl w:val="0"/>
        </w:rPr>
        <w:t xml:space="preserve">Final Reading!!</w:t>
      </w:r>
    </w:p>
    <w:p w:rsidR="00000000" w:rsidDel="00000000" w:rsidP="00000000" w:rsidRDefault="00000000" w:rsidRPr="00000000" w14:paraId="00000031">
      <w:pPr>
        <w:rPr>
          <w:rFonts w:ascii="Comic Sans MS" w:cs="Comic Sans MS" w:eastAsia="Comic Sans MS" w:hAnsi="Comic Sans MS"/>
          <w:b w:val="1"/>
          <w:color w:val="4472c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472c4"/>
          <w:sz w:val="24"/>
          <w:szCs w:val="24"/>
          <w:rtl w:val="0"/>
        </w:rPr>
        <w:t xml:space="preserve">Let’s make connections!!</w:t>
      </w:r>
    </w:p>
    <w:tbl>
      <w:tblPr>
        <w:tblStyle w:val="Table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Century Gothic" w:cs="Century Gothic" w:eastAsia="Century Gothic" w:hAnsi="Century Gothic"/>
                <w:b w:val="1"/>
                <w:color w:val="000000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7"/>
                <w:szCs w:val="27"/>
                <w:highlight w:val="white"/>
                <w:rtl w:val="0"/>
              </w:rPr>
              <w:t xml:space="preserve"> 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4472c4"/>
                <w:sz w:val="27"/>
                <w:szCs w:val="27"/>
                <w:highlight w:val="white"/>
                <w:rtl w:val="0"/>
              </w:rPr>
              <w:t xml:space="preserve">Text-to-text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omic Sans MS" w:cs="Comic Sans MS" w:eastAsia="Comic Sans MS" w:hAnsi="Comic Sans MS"/>
                <w:b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(Connect this text to what literary text we are reading now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7"/>
                <w:szCs w:val="27"/>
                <w:highlight w:val="white"/>
                <w:rtl w:val="0"/>
              </w:rPr>
              <w:t xml:space="preserve">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omic Sans MS" w:cs="Comic Sans MS" w:eastAsia="Comic Sans MS" w:hAnsi="Comic Sans MS"/>
                <w:b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4472c4"/>
                <w:sz w:val="24"/>
                <w:szCs w:val="24"/>
                <w:rtl w:val="0"/>
              </w:rPr>
              <w:t xml:space="preserve">Text to self </w:t>
            </w:r>
          </w:p>
          <w:p w:rsidR="00000000" w:rsidDel="00000000" w:rsidP="00000000" w:rsidRDefault="00000000" w:rsidRPr="00000000" w14:paraId="00000035">
            <w:pPr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(Connect this text to yourself)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omic Sans MS" w:cs="Comic Sans MS" w:eastAsia="Comic Sans MS" w:hAnsi="Comic Sans MS"/>
                <w:b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4472c4"/>
                <w:sz w:val="24"/>
                <w:szCs w:val="24"/>
                <w:rtl w:val="0"/>
              </w:rPr>
              <w:t xml:space="preserve">Text to world</w:t>
            </w:r>
          </w:p>
          <w:p w:rsidR="00000000" w:rsidDel="00000000" w:rsidP="00000000" w:rsidRDefault="00000000" w:rsidRPr="00000000" w14:paraId="00000037">
            <w:pPr>
              <w:rPr>
                <w:rFonts w:ascii="Comic Sans MS" w:cs="Comic Sans MS" w:eastAsia="Comic Sans MS" w:hAnsi="Comic Sans MS"/>
                <w:b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(Connect this text to the world)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8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Comic Sans MS" w:cs="Comic Sans MS" w:eastAsia="Comic Sans MS" w:hAnsi="Comic Sans MS"/>
                <w:b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omic Sans MS" w:cs="Comic Sans MS" w:eastAsia="Comic Sans MS" w:hAnsi="Comic Sans MS"/>
                <w:b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omic Sans MS" w:cs="Comic Sans MS" w:eastAsia="Comic Sans MS" w:hAnsi="Comic Sans MS"/>
                <w:b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rFonts w:ascii="Comic Sans MS" w:cs="Comic Sans MS" w:eastAsia="Comic Sans MS" w:hAnsi="Comic Sans MS"/>
          <w:b w:val="1"/>
          <w:color w:val="4472c4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spacing w:after="0" w:line="276" w:lineRule="auto"/>
      <w:rPr>
        <w:rFonts w:ascii="Lato" w:cs="Lato" w:eastAsia="Lato" w:hAnsi="Lato"/>
        <w:b w:val="1"/>
        <w:color w:val="66666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spacing w:after="0" w:line="276" w:lineRule="auto"/>
      <w:rPr>
        <w:rFonts w:ascii="Lato" w:cs="Lato" w:eastAsia="Lato" w:hAnsi="Lato"/>
        <w:b w:val="1"/>
        <w:color w:val="666666"/>
      </w:rPr>
    </w:pPr>
    <w:r w:rsidDel="00000000" w:rsidR="00000000" w:rsidRPr="00000000">
      <w:rPr>
        <w:rFonts w:ascii="Lato" w:cs="Lato" w:eastAsia="Lato" w:hAnsi="Lato"/>
        <w:b w:val="1"/>
        <w:color w:val="666666"/>
        <w:rtl w:val="0"/>
      </w:rPr>
      <w:t xml:space="preserve">Green Justice:  Exploring how rhetoric and art are used to inform and empower communities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5086350</wp:posOffset>
          </wp:positionH>
          <wp:positionV relativeFrom="paragraph">
            <wp:posOffset>152400</wp:posOffset>
          </wp:positionV>
          <wp:extent cx="1547813" cy="20157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47813" cy="20157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E">
    <w:pPr>
      <w:spacing w:after="200" w:line="276" w:lineRule="auto"/>
      <w:rPr/>
    </w:pPr>
    <w:r w:rsidDel="00000000" w:rsidR="00000000" w:rsidRPr="00000000">
      <w:rPr>
        <w:rFonts w:ascii="Lato" w:cs="Lato" w:eastAsia="Lato" w:hAnsi="Lato"/>
        <w:color w:val="666666"/>
        <w:rtl w:val="0"/>
      </w:rPr>
      <w:t xml:space="preserve">Unit by Deidra Wright, part of the 2023-2024 Pulitzer Center Teacher Fellowship</w:t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021D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xsjZhfAp5a/D/5JrUpeuVbRnMQ==">CgMxLjAyCGguZ2pkZ3hzOAByITE5TWtoYU1BclZfMXlPRmZONktsbVNpcjU2QnBILUctTA==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2021-11-08T14:18:00Z</dcterms:created>
  <dc:creator>Wright, Deidra</dc:creator>
</cp:coreProperties>
</file>