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4472c4"/>
          <w:sz w:val="72"/>
          <w:szCs w:val="72"/>
        </w:rPr>
      </w:pPr>
      <w:r w:rsidDel="00000000" w:rsidR="00000000" w:rsidRPr="00000000">
        <w:rPr>
          <w:rFonts w:ascii="Georgia" w:cs="Georgia" w:eastAsia="Georgia" w:hAnsi="Georgia"/>
          <w:b w:val="1"/>
          <w:color w:val="4472c4"/>
          <w:sz w:val="72"/>
          <w:szCs w:val="72"/>
          <w:rtl w:val="0"/>
        </w:rPr>
        <w:t xml:space="preserve">3 View Lab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 Students will listen to a story told using music, through testimony, and through an article. Students will determine what medium told the story the best and explain why?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3023"/>
        <w:gridCol w:w="2967"/>
        <w:tblGridChange w:id="0">
          <w:tblGrid>
            <w:gridCol w:w="3360"/>
            <w:gridCol w:w="3023"/>
            <w:gridCol w:w="2967"/>
          </w:tblGrid>
        </w:tblGridChange>
      </w:tblGrid>
      <w:tr>
        <w:trPr>
          <w:cantSplit w:val="0"/>
          <w:trHeight w:val="121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Music </w:t>
            </w:r>
          </w:p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Artist:</w:t>
            </w:r>
          </w:p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Song Title:</w:t>
            </w:r>
          </w:p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Theme/Message: </w:t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Write notes on the song below.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Testimony </w:t>
            </w:r>
          </w:p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 delivering the testimony:</w:t>
            </w:r>
          </w:p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Message:</w:t>
            </w:r>
          </w:p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Write notes about the testimony here.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Article </w:t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Journalist name:</w:t>
            </w:r>
          </w:p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Article Title:</w:t>
            </w:r>
          </w:p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Write notes from the article here.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5086350</wp:posOffset>
          </wp:positionH>
          <wp:positionV relativeFrom="paragraph">
            <wp:posOffset>152400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70F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VbPqf0cKw0b1R1aAspAyUWl7g==">CgMxLjA4AHIhMVp5ZDR3UTNfanl4ekZVTjhGTDR1T1lkR19pMkdoa253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2024-01-29T00:18:00Z</dcterms:created>
  <dc:creator>Wright, Deidra</dc:creator>
</cp:coreProperties>
</file>