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 </w:t>
        <w:tab/>
        <w:t xml:space="preserve">Date ___________</w:t>
        <w:tab/>
        <w:t xml:space="preserve">Class __________</w:t>
      </w:r>
    </w:p>
    <w:p w:rsidR="00000000" w:rsidDel="00000000" w:rsidP="00000000" w:rsidRDefault="00000000" w:rsidRPr="00000000" w14:paraId="00000002">
      <w:pPr>
        <w:spacing w:before="200" w:line="480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Peering into the Black Box - Questions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Directions</w:t>
      </w:r>
      <w:r w:rsidDel="00000000" w:rsidR="00000000" w:rsidRPr="00000000">
        <w:rPr>
          <w:rFonts w:ascii="Lato" w:cs="Lato" w:eastAsia="Lato" w:hAnsi="Lato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After reading the article with your partner, complete the following questions. Be sure to use evidence from the article in your answer.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680"/>
        <w:tblGridChange w:id="0">
          <w:tblGrid>
            <w:gridCol w:w="2880"/>
            <w:gridCol w:w="7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In the article, what were the students doing?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What rights were they exercising?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How was AI being used in these situations?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In previous lessons, we looked at First Amendment rights to free speech and a free press. Has this article challenged or changed the way you think about free speech and/or a free press?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Could this impact our democracy (remember: democracy is based on citizen participation)?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Can you imagine how AI might be used in other ways that can challenge our rights?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Were the events in this article a surprise to you? (Have you heard about stories like these before?) Why or why not?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228600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2E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