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Global Migration Curated List of Reporting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Directions:</w:t>
      </w:r>
      <w:r w:rsidDel="00000000" w:rsidR="00000000" w:rsidRPr="00000000">
        <w:rPr>
          <w:sz w:val="24"/>
          <w:szCs w:val="24"/>
          <w:rtl w:val="0"/>
        </w:rPr>
        <w:t xml:space="preserve"> Review two articles from the curated list below. All stories were supported by the Pulitzer Center. After reading each article, complete the “</w:t>
      </w:r>
      <w:r w:rsidDel="00000000" w:rsidR="00000000" w:rsidRPr="00000000">
        <w:rPr>
          <w:rFonts w:ascii="Lato" w:cs="Lato" w:eastAsia="Lato" w:hAnsi="Lato"/>
          <w:rtl w:val="0"/>
        </w:rPr>
        <w:t xml:space="preserve">Exploring Underreported Stories Article Analysis handout”[.</w:t>
      </w:r>
      <w:hyperlink r:id="rId6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pdf]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.docx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Lato" w:cs="Lato" w:eastAsia="Lato" w:hAnsi="Lato"/>
          <w:i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“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highlight w:val="white"/>
            <w:u w:val="single"/>
            <w:rtl w:val="0"/>
          </w:rPr>
          <w:t xml:space="preserve">Deported to Haiti Even Though He Wasn’t Born There, He’s Still Fighting to Get Back to the U.S”.</w:t>
        </w:r>
      </w:hyperlink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 by Jacqueline Charles for </w:t>
      </w:r>
      <w:r w:rsidDel="00000000" w:rsidR="00000000" w:rsidRPr="00000000">
        <w:rPr>
          <w:rFonts w:ascii="Lato" w:cs="Lato" w:eastAsia="Lato" w:hAnsi="Lato"/>
          <w:i w:val="1"/>
          <w:highlight w:val="white"/>
          <w:rtl w:val="0"/>
        </w:rPr>
        <w:t xml:space="preserve">The Miami Herald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“</w:t>
      </w:r>
      <w:hyperlink r:id="rId9">
        <w:r w:rsidDel="00000000" w:rsidR="00000000" w:rsidRPr="00000000">
          <w:rPr>
            <w:rFonts w:ascii="Lato" w:cs="Lato" w:eastAsia="Lato" w:hAnsi="Lato"/>
            <w:color w:val="1155cc"/>
            <w:highlight w:val="white"/>
            <w:u w:val="single"/>
            <w:rtl w:val="0"/>
          </w:rPr>
          <w:t xml:space="preserve">I’ll Do It Again: Hopes of Economic Stability Propel Young Tunisians Across the Mediterranean Sea” </w:t>
        </w:r>
      </w:hyperlink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by Audrey Thibert for the Pulitzer Center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Lato" w:cs="Lato" w:eastAsia="Lato" w:hAnsi="Lato"/>
          <w:i w:val="1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“</w:t>
      </w:r>
      <w:hyperlink r:id="rId10">
        <w:r w:rsidDel="00000000" w:rsidR="00000000" w:rsidRPr="00000000">
          <w:rPr>
            <w:rFonts w:ascii="Lato" w:cs="Lato" w:eastAsia="Lato" w:hAnsi="Lato"/>
            <w:color w:val="1155cc"/>
            <w:highlight w:val="white"/>
            <w:u w:val="single"/>
            <w:rtl w:val="0"/>
          </w:rPr>
          <w:t xml:space="preserve">Seeking Refuge: The Story of Two Women I Know</w:t>
        </w:r>
      </w:hyperlink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”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 by Ankita Mukhopadhyay for </w:t>
      </w:r>
      <w:r w:rsidDel="00000000" w:rsidR="00000000" w:rsidRPr="00000000">
        <w:rPr>
          <w:rFonts w:ascii="Lato" w:cs="Lato" w:eastAsia="Lato" w:hAnsi="Lato"/>
          <w:i w:val="1"/>
          <w:highlight w:val="white"/>
          <w:rtl w:val="0"/>
        </w:rPr>
        <w:t xml:space="preserve">The Wire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tl w:val="0"/>
        </w:rPr>
        <w:t xml:space="preserve">“</w:t>
      </w:r>
      <w:hyperlink r:id="rId11">
        <w:r w:rsidDel="00000000" w:rsidR="00000000" w:rsidRPr="00000000">
          <w:rPr>
            <w:rFonts w:ascii="Lato" w:cs="Lato" w:eastAsia="Lato" w:hAnsi="Lato"/>
            <w:color w:val="1155cc"/>
            <w:highlight w:val="white"/>
            <w:u w:val="single"/>
            <w:rtl w:val="0"/>
          </w:rPr>
          <w:t xml:space="preserve">Uncertain Futures: Ukrainian Refugees in Turkey, One Year In</w:t>
        </w:r>
      </w:hyperlink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”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 by Diana Rayes for the Pulitzer Center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Lato" w:cs="Lato" w:eastAsia="Lato" w:hAnsi="Lato"/>
          <w:i w:val="1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“</w:t>
      </w:r>
      <w:hyperlink r:id="rId12">
        <w:r w:rsidDel="00000000" w:rsidR="00000000" w:rsidRPr="00000000">
          <w:rPr>
            <w:rFonts w:ascii="Lato" w:cs="Lato" w:eastAsia="Lato" w:hAnsi="Lato"/>
            <w:color w:val="1155cc"/>
            <w:highlight w:val="white"/>
            <w:u w:val="single"/>
            <w:rtl w:val="0"/>
          </w:rPr>
          <w:t xml:space="preserve">Heaven to Hell, Blue Skies to Pain: The Lament of Iraq’s Climate Migrants” </w:t>
        </w:r>
      </w:hyperlink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by Susan Schulman for </w:t>
      </w:r>
      <w:r w:rsidDel="00000000" w:rsidR="00000000" w:rsidRPr="00000000">
        <w:rPr>
          <w:rFonts w:ascii="Lato" w:cs="Lato" w:eastAsia="Lato" w:hAnsi="Lato"/>
          <w:i w:val="1"/>
          <w:highlight w:val="white"/>
          <w:rtl w:val="0"/>
        </w:rPr>
        <w:t xml:space="preserve">Daily Maverick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Lato" w:cs="Lato" w:eastAsia="Lato" w:hAnsi="Lato"/>
          <w:i w:val="1"/>
          <w:highlight w:val="white"/>
        </w:rPr>
      </w:pP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“</w:t>
      </w:r>
      <w:hyperlink r:id="rId13">
        <w:r w:rsidDel="00000000" w:rsidR="00000000" w:rsidRPr="00000000">
          <w:rPr>
            <w:rFonts w:ascii="Lato" w:cs="Lato" w:eastAsia="Lato" w:hAnsi="Lato"/>
            <w:color w:val="1155cc"/>
            <w:highlight w:val="white"/>
            <w:u w:val="single"/>
            <w:rtl w:val="0"/>
          </w:rPr>
          <w:t xml:space="preserve">Climate Migration: Blind and Homeless Amid Somalia’s Drought</w:t>
        </w:r>
      </w:hyperlink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”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 by Cara Anna for </w:t>
      </w:r>
      <w:r w:rsidDel="00000000" w:rsidR="00000000" w:rsidRPr="00000000">
        <w:rPr>
          <w:rFonts w:ascii="Lato" w:cs="Lato" w:eastAsia="Lato" w:hAnsi="Lato"/>
          <w:i w:val="1"/>
          <w:highlight w:val="white"/>
          <w:rtl w:val="0"/>
        </w:rPr>
        <w:t xml:space="preserve">Associated Press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Lato" w:cs="Lato" w:eastAsia="Lato" w:hAnsi="La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widowControl w:val="0"/>
        <w:pBdr>
          <w:left w:color="auto" w:space="0" w:sz="0" w:val="none"/>
          <w:right w:color="auto" w:space="11" w:sz="0" w:val="none"/>
        </w:pBdr>
        <w:shd w:fill="ffffff" w:val="clear"/>
        <w:spacing w:before="0" w:line="240" w:lineRule="auto"/>
        <w:rPr>
          <w:rFonts w:ascii="Lato" w:cs="Lato" w:eastAsia="Lato" w:hAnsi="Lato"/>
          <w:i w:val="1"/>
          <w:color w:val="212529"/>
          <w:sz w:val="22"/>
          <w:szCs w:val="22"/>
          <w:highlight w:val="white"/>
        </w:rPr>
      </w:pPr>
      <w:bookmarkStart w:colFirst="0" w:colLast="0" w:name="_s34my3atuawl" w:id="0"/>
      <w:bookmarkEnd w:id="0"/>
      <w:r w:rsidDel="00000000" w:rsidR="00000000" w:rsidRPr="00000000">
        <w:rPr>
          <w:rFonts w:ascii="Lato" w:cs="Lato" w:eastAsia="Lato" w:hAnsi="Lato"/>
          <w:sz w:val="22"/>
          <w:szCs w:val="22"/>
          <w:highlight w:val="white"/>
          <w:rtl w:val="0"/>
        </w:rPr>
        <w:t xml:space="preserve">“</w:t>
      </w:r>
      <w:hyperlink r:id="rId14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highlight w:val="white"/>
            <w:u w:val="single"/>
            <w:rtl w:val="0"/>
          </w:rPr>
          <w:t xml:space="preserve">An Exodus of Nurses Has Caused a “Medical Brain Drain” in Nigeria. Are Rich Countries To Blame?</w:t>
        </w:r>
      </w:hyperlink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highlight w:val="white"/>
          <w:rtl w:val="0"/>
        </w:rPr>
        <w:t xml:space="preserve">”</w:t>
      </w:r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highlight w:val="white"/>
          <w:rtl w:val="0"/>
        </w:rPr>
        <w:t xml:space="preserve"> by Aurora Almendral and Ibanga Isine for </w:t>
      </w:r>
      <w:r w:rsidDel="00000000" w:rsidR="00000000" w:rsidRPr="00000000">
        <w:rPr>
          <w:rFonts w:ascii="Lato" w:cs="Lato" w:eastAsia="Lato" w:hAnsi="Lato"/>
          <w:i w:val="1"/>
          <w:color w:val="212529"/>
          <w:sz w:val="22"/>
          <w:szCs w:val="22"/>
          <w:highlight w:val="white"/>
          <w:rtl w:val="0"/>
        </w:rPr>
        <w:t xml:space="preserve">Quartz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pBdr>
          <w:left w:color="auto" w:space="0" w:sz="0" w:val="none"/>
          <w:right w:color="auto" w:space="11" w:sz="0" w:val="none"/>
        </w:pBdr>
        <w:shd w:fill="ffffff" w:val="clear"/>
        <w:spacing w:before="0" w:line="240" w:lineRule="auto"/>
        <w:rPr>
          <w:rFonts w:ascii="Lato" w:cs="Lato" w:eastAsia="Lato" w:hAnsi="Lato"/>
          <w:color w:val="212529"/>
          <w:sz w:val="22"/>
          <w:szCs w:val="22"/>
        </w:rPr>
      </w:pPr>
      <w:bookmarkStart w:colFirst="0" w:colLast="0" w:name="_8e0kd5ia84ur" w:id="1"/>
      <w:bookmarkEnd w:id="1"/>
      <w:r w:rsidDel="00000000" w:rsidR="00000000" w:rsidRPr="00000000">
        <w:rPr>
          <w:sz w:val="22"/>
          <w:szCs w:val="22"/>
          <w:rtl w:val="0"/>
        </w:rPr>
        <w:t xml:space="preserve">“</w:t>
      </w:r>
      <w:hyperlink r:id="rId15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Said and the Others: The Unresolved Challenges of Migrant Integration in Italy</w:t>
        </w:r>
      </w:hyperlink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rtl w:val="0"/>
        </w:rPr>
        <w:t xml:space="preserve"> by Giulia Pozzi for Pulitzer Center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pBdr>
          <w:left w:color="auto" w:space="0" w:sz="0" w:val="none"/>
          <w:right w:color="auto" w:space="11" w:sz="0" w:val="none"/>
        </w:pBdr>
        <w:shd w:fill="ffffff" w:val="clear"/>
        <w:spacing w:before="0" w:line="240" w:lineRule="auto"/>
        <w:rPr>
          <w:rFonts w:ascii="Lato" w:cs="Lato" w:eastAsia="Lato" w:hAnsi="Lato"/>
          <w:i w:val="1"/>
          <w:color w:val="212529"/>
          <w:sz w:val="22"/>
          <w:szCs w:val="22"/>
        </w:rPr>
      </w:pPr>
      <w:bookmarkStart w:colFirst="0" w:colLast="0" w:name="_nglce8l7m7bc" w:id="2"/>
      <w:bookmarkEnd w:id="2"/>
      <w:r w:rsidDel="00000000" w:rsidR="00000000" w:rsidRPr="00000000">
        <w:rPr>
          <w:sz w:val="22"/>
          <w:szCs w:val="22"/>
          <w:rtl w:val="0"/>
        </w:rPr>
        <w:t xml:space="preserve">“</w:t>
      </w:r>
      <w:hyperlink r:id="rId16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Coup, COVID, Climate: The Triple Threat Chasing Citizens From Myanmar’s Rice Bow</w:t>
        </w:r>
      </w:hyperlink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rtl w:val="0"/>
        </w:rPr>
        <w:t xml:space="preserve">l” </w:t>
      </w:r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rtl w:val="0"/>
        </w:rPr>
        <w:t xml:space="preserve">by Kiana Duncan for </w:t>
      </w:r>
      <w:r w:rsidDel="00000000" w:rsidR="00000000" w:rsidRPr="00000000">
        <w:rPr>
          <w:rFonts w:ascii="Lato" w:cs="Lato" w:eastAsia="Lato" w:hAnsi="Lato"/>
          <w:i w:val="1"/>
          <w:color w:val="212529"/>
          <w:sz w:val="22"/>
          <w:szCs w:val="22"/>
          <w:rtl w:val="0"/>
        </w:rPr>
        <w:t xml:space="preserve">The Guardian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pBdr>
          <w:left w:color="auto" w:space="0" w:sz="0" w:val="none"/>
          <w:right w:color="auto" w:space="11" w:sz="0" w:val="none"/>
        </w:pBdr>
        <w:shd w:fill="ffffff" w:val="clear"/>
        <w:spacing w:before="0" w:line="240" w:lineRule="auto"/>
        <w:rPr>
          <w:rFonts w:ascii="Lato" w:cs="Lato" w:eastAsia="Lato" w:hAnsi="Lato"/>
          <w:color w:val="212529"/>
          <w:sz w:val="22"/>
          <w:szCs w:val="22"/>
        </w:rPr>
      </w:pPr>
      <w:bookmarkStart w:colFirst="0" w:colLast="0" w:name="_3vw98i3xzkvs" w:id="3"/>
      <w:bookmarkEnd w:id="3"/>
      <w:r w:rsidDel="00000000" w:rsidR="00000000" w:rsidRPr="00000000">
        <w:rPr>
          <w:sz w:val="22"/>
          <w:szCs w:val="22"/>
          <w:rtl w:val="0"/>
        </w:rPr>
        <w:t xml:space="preserve">“</w:t>
      </w:r>
      <w:hyperlink r:id="rId17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Dreams Detained: Young Migrants and the Families They Leave Behind in Guatemala</w:t>
        </w:r>
      </w:hyperlink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rtl w:val="0"/>
        </w:rPr>
        <w:t xml:space="preserve">” </w:t>
      </w:r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rtl w:val="0"/>
        </w:rPr>
        <w:t xml:space="preserve">by Jessica Marcy for Pulitzer Center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pBdr>
          <w:left w:color="auto" w:space="0" w:sz="0" w:val="none"/>
          <w:right w:color="auto" w:space="11" w:sz="0" w:val="none"/>
        </w:pBdr>
        <w:shd w:fill="ffffff" w:val="clear"/>
        <w:spacing w:after="0" w:before="0" w:line="240" w:lineRule="auto"/>
        <w:rPr>
          <w:rFonts w:ascii="Lato" w:cs="Lato" w:eastAsia="Lato" w:hAnsi="Lato"/>
          <w:i w:val="1"/>
          <w:color w:val="212529"/>
          <w:sz w:val="22"/>
          <w:szCs w:val="22"/>
        </w:rPr>
      </w:pPr>
      <w:bookmarkStart w:colFirst="0" w:colLast="0" w:name="_vkxoy4wfu22x" w:id="4"/>
      <w:bookmarkEnd w:id="4"/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rtl w:val="0"/>
        </w:rPr>
        <w:t xml:space="preserve">“</w:t>
      </w:r>
      <w:hyperlink r:id="rId18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A Country That Welcomes Migration</w:t>
        </w:r>
      </w:hyperlink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rtl w:val="0"/>
        </w:rPr>
        <w:t xml:space="preserve"> “by Patrick Ammerman for </w:t>
      </w:r>
      <w:r w:rsidDel="00000000" w:rsidR="00000000" w:rsidRPr="00000000">
        <w:rPr>
          <w:rFonts w:ascii="Lato" w:cs="Lato" w:eastAsia="Lato" w:hAnsi="Lato"/>
          <w:i w:val="1"/>
          <w:color w:val="212529"/>
          <w:sz w:val="22"/>
          <w:szCs w:val="22"/>
          <w:rtl w:val="0"/>
        </w:rPr>
        <w:t xml:space="preserve">Yes!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pBdr>
          <w:left w:color="auto" w:space="0" w:sz="0" w:val="none"/>
          <w:right w:color="auto" w:space="11" w:sz="0" w:val="none"/>
        </w:pBdr>
        <w:shd w:fill="ffffff" w:val="clear"/>
        <w:spacing w:before="0" w:line="240" w:lineRule="auto"/>
        <w:rPr>
          <w:i w:val="1"/>
          <w:sz w:val="22"/>
          <w:szCs w:val="22"/>
        </w:rPr>
      </w:pPr>
      <w:bookmarkStart w:colFirst="0" w:colLast="0" w:name="_i6bzk97tz4xq" w:id="5"/>
      <w:bookmarkEnd w:id="5"/>
      <w:r w:rsidDel="00000000" w:rsidR="00000000" w:rsidRPr="00000000">
        <w:rPr>
          <w:sz w:val="22"/>
          <w:szCs w:val="22"/>
          <w:rtl w:val="0"/>
        </w:rPr>
        <w:t xml:space="preserve">“</w:t>
      </w:r>
      <w:hyperlink r:id="rId19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Inside Malaysia’s ‘Living Hell’ for Refugee Children</w:t>
        </w:r>
      </w:hyperlink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Lato" w:cs="Lato" w:eastAsia="Lato" w:hAnsi="Lato"/>
          <w:color w:val="212529"/>
          <w:sz w:val="22"/>
          <w:szCs w:val="22"/>
          <w:rtl w:val="0"/>
        </w:rPr>
        <w:t xml:space="preserve"> by Ifath Sayed and Jueun Choi for </w:t>
      </w:r>
      <w:r w:rsidDel="00000000" w:rsidR="00000000" w:rsidRPr="00000000">
        <w:rPr>
          <w:rFonts w:ascii="Lato" w:cs="Lato" w:eastAsia="Lato" w:hAnsi="Lato"/>
          <w:i w:val="1"/>
          <w:color w:val="212529"/>
          <w:sz w:val="22"/>
          <w:szCs w:val="22"/>
          <w:rtl w:val="0"/>
        </w:rPr>
        <w:t xml:space="preserve">NewsDeeply</w:t>
      </w:r>
      <w:r w:rsidDel="00000000" w:rsidR="00000000" w:rsidRPr="00000000">
        <w:rPr>
          <w:rtl w:val="0"/>
        </w:rPr>
      </w:r>
    </w:p>
    <w:sectPr>
      <w:headerReference r:id="rId2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Investigating, Informing, Influencing: Exploring Current Issues on a National and Global Scale</w:t>
      <w:br w:type="textWrapping"/>
    </w: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ALEXANDRA YEGANEGI, </w:t>
      <w:br w:type="textWrapping"/>
      <w:t xml:space="preserve">part of the 2023-2024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4429125</wp:posOffset>
          </wp:positionH>
          <wp:positionV relativeFrom="paragraph">
            <wp:posOffset>219075</wp:posOffset>
          </wp:positionV>
          <wp:extent cx="1826315" cy="2333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6315" cy="233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pulitzercenter.org/stories/uncertain-futures-ukrainian-refugees-turkey-one-year" TargetMode="External"/><Relationship Id="rId10" Type="http://schemas.openxmlformats.org/officeDocument/2006/relationships/hyperlink" Target="https://pulitzercenter.org/stories/seeking-refuge-story-two-women-i-know" TargetMode="External"/><Relationship Id="rId13" Type="http://schemas.openxmlformats.org/officeDocument/2006/relationships/hyperlink" Target="https://pulitzercenter.org/stories/climate-migration-blind-and-homeless-amid-somalias-drought" TargetMode="External"/><Relationship Id="rId12" Type="http://schemas.openxmlformats.org/officeDocument/2006/relationships/hyperlink" Target="https://pulitzercenter.org/stories/heaven-hell-blue-skies-pain-lament-iraqs-climate-migrant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litzercenter.org/stories/ill-do-it-again-hopes-economic-stability-propel-young-tunisians-across-mediterranean-sea" TargetMode="External"/><Relationship Id="rId15" Type="http://schemas.openxmlformats.org/officeDocument/2006/relationships/hyperlink" Target="https://pulitzercenter.org/stories/said-and-others-unresolved-challenges-migrant-integration-italy" TargetMode="External"/><Relationship Id="rId14" Type="http://schemas.openxmlformats.org/officeDocument/2006/relationships/hyperlink" Target="https://pulitzercenter.org/stories/exodus-nurses-has-caused-medical-brain-drain-nigeria-are-rich-countries-blame" TargetMode="External"/><Relationship Id="rId17" Type="http://schemas.openxmlformats.org/officeDocument/2006/relationships/hyperlink" Target="https://pulitzercenter.org/stories/dreams-detained-young-migrants-and-families-they-leave-behind-guatemala" TargetMode="External"/><Relationship Id="rId16" Type="http://schemas.openxmlformats.org/officeDocument/2006/relationships/hyperlink" Target="https://pulitzercenter.org/stories/coup-covid-climate-triple-threat-chasing-citizens-myanmars-rice-bowl" TargetMode="External"/><Relationship Id="rId5" Type="http://schemas.openxmlformats.org/officeDocument/2006/relationships/styles" Target="styles.xml"/><Relationship Id="rId19" Type="http://schemas.openxmlformats.org/officeDocument/2006/relationships/hyperlink" Target="https://pulitzercenter.org/stories/inside-malaysias-living-hell-refugee-children" TargetMode="External"/><Relationship Id="rId6" Type="http://schemas.openxmlformats.org/officeDocument/2006/relationships/hyperlink" Target="https://pulitzercenter.org/sites/default/files/2024-07/Exploring%20Underreported%20Stories_%20Article%20Analysis%20.pdf" TargetMode="External"/><Relationship Id="rId18" Type="http://schemas.openxmlformats.org/officeDocument/2006/relationships/hyperlink" Target="https://pulitzercenter.org/stories/country-welcomes-migration" TargetMode="External"/><Relationship Id="rId7" Type="http://schemas.openxmlformats.org/officeDocument/2006/relationships/hyperlink" Target="https://pulitzercenter.org/sites/default/files/2024-07/Exploring%20Underreported%20Stories_%20Article%20Analysis%20.docx" TargetMode="External"/><Relationship Id="rId8" Type="http://schemas.openxmlformats.org/officeDocument/2006/relationships/hyperlink" Target="https://pulitzercenter.org/stories/deported-haiti-even-though-he-wasnt-born-there-hes-still-fighting-get-back-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