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Name: _______________________________________________________</w:t>
        <w:tab/>
        <w:t xml:space="preserve">Date: ___________________________</w:t>
        <w:tab/>
        <w:t xml:space="preserve">Block: _________</w:t>
      </w:r>
    </w:p>
    <w:p w:rsidR="00000000" w:rsidDel="00000000" w:rsidP="00000000" w:rsidRDefault="00000000" w:rsidRPr="00000000" w14:paraId="00000002">
      <w:pPr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171450</wp:posOffset>
            </wp:positionV>
            <wp:extent cx="1994118" cy="1428941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4118" cy="14289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color w:val="333333"/>
          <w:sz w:val="20"/>
          <w:szCs w:val="20"/>
          <w:highlight w:val="white"/>
          <w:rtl w:val="0"/>
        </w:rPr>
        <w:t xml:space="preserve">A call to action is an explicit appeal to your audience to take a specific action,  most often made at the conclusion of a persuasive speech or text. It should provide a solid conclusion to your argument and give your audience something to remember, think about, and do. A strong call to action is clear, direct, actionable, and personal to your audience.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color w:val="333333"/>
          <w:sz w:val="20"/>
          <w:szCs w:val="20"/>
          <w:highlight w:val="white"/>
          <w:rtl w:val="0"/>
        </w:rPr>
        <w:t xml:space="preserve">After reading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sz w:val="20"/>
            <w:szCs w:val="20"/>
            <w:highlight w:val="white"/>
            <w:u w:val="single"/>
            <w:rtl w:val="0"/>
          </w:rPr>
          <w:t xml:space="preserve">“Dreams Derailed”</w:t>
        </w:r>
      </w:hyperlink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by Marcela Rodrigues for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highlight w:val="white"/>
          <w:rtl w:val="0"/>
        </w:rPr>
        <w:t xml:space="preserve">The Chronicle of Higher Education,</w:t>
      </w:r>
      <w:r w:rsidDel="00000000" w:rsidR="00000000" w:rsidRPr="00000000">
        <w:rPr>
          <w:rFonts w:ascii="Lato" w:cs="Lato" w:eastAsia="Lato" w:hAnsi="Lato"/>
          <w:color w:val="333333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333333"/>
          <w:sz w:val="20"/>
          <w:szCs w:val="20"/>
          <w:highlight w:val="white"/>
          <w:rtl w:val="0"/>
        </w:rPr>
        <w:t xml:space="preserve">put yourself in each of the following scenarios. Take on the given perspective and brainstorm a strong call to action. </w:t>
      </w:r>
    </w:p>
    <w:tbl>
      <w:tblPr>
        <w:tblStyle w:val="Table1"/>
        <w:tblW w:w="1078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4470"/>
        <w:gridCol w:w="4050"/>
        <w:tblGridChange w:id="0">
          <w:tblGrid>
            <w:gridCol w:w="2265"/>
            <w:gridCol w:w="4470"/>
            <w:gridCol w:w="40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Perspective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Context and Audience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Call to 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a guidance counselor for a high-achieving undocumented student.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talking to a high-achieving undocumented student, such as Steven or Diana from the article, about their future after graduation.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a high-achieving high school senior who is undocumented.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have written your college admissions essay to a private college in Georgia. You want to be accepted and earn a scholarship.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an official from a state university in Georgia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giving a presentation to immigration reform and education advocates who can work with undocumented students at local high schools.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you.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You are writing a persuasive letter to our local lawmakers regarding the most recent court ruling on DACA, which is as follows, according to the U.S. Citizenship and Immigration Services: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Lato" w:cs="Lato" w:eastAsia="Lato" w:hAnsi="Lato"/>
                <w:color w:val="444444"/>
                <w:sz w:val="20"/>
                <w:szCs w:val="20"/>
                <w:highlight w:val="white"/>
                <w:rtl w:val="0"/>
              </w:rPr>
              <w:t xml:space="preserve">On Sept. 13, 2023, the U.S. District Court for the Southern District of Texas issued a decision finding the </w:t>
            </w:r>
            <w:hyperlink r:id="rId8">
              <w:r w:rsidDel="00000000" w:rsidR="00000000" w:rsidRPr="00000000">
                <w:rPr>
                  <w:rFonts w:ascii="Lato" w:cs="Lato" w:eastAsia="Lato" w:hAnsi="Lato"/>
                  <w:color w:val="006699"/>
                  <w:sz w:val="20"/>
                  <w:szCs w:val="20"/>
                  <w:highlight w:val="white"/>
                  <w:u w:val="single"/>
                  <w:rtl w:val="0"/>
                </w:rPr>
                <w:t xml:space="preserve">DACA Final Rule</w:t>
              </w:r>
            </w:hyperlink>
            <w:r w:rsidDel="00000000" w:rsidR="00000000" w:rsidRPr="00000000">
              <w:rPr>
                <w:rFonts w:ascii="Lato" w:cs="Lato" w:eastAsia="Lato" w:hAnsi="Lato"/>
                <w:color w:val="444444"/>
                <w:sz w:val="20"/>
                <w:szCs w:val="20"/>
                <w:highlight w:val="white"/>
                <w:rtl w:val="0"/>
              </w:rPr>
              <w:t xml:space="preserve"> unlawful and expanding the original July 16, 2021 injunction and order of vacatur to cover the Final Rule. However, the court maintained a partial stay of the order for “all DACA recipients who received their initial DACA status prior to July 16, 2021.”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rFonts w:ascii="Lato" w:cs="Lato" w:eastAsia="Lato" w:hAnsi="Lato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Investigating, Informing, Influencing: Exploring Current Issues on a National and Global Scale</w:t>
      <w:br w:type="textWrapping"/>
    </w: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ALEXANDRA YEGANEGI, </w:t>
      <w:br w:type="textWrapping"/>
      <w:t xml:space="preserve">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4429125</wp:posOffset>
          </wp:positionH>
          <wp:positionV relativeFrom="paragraph">
            <wp:posOffset>219075</wp:posOffset>
          </wp:positionV>
          <wp:extent cx="1826315" cy="2333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6315" cy="233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pulitzercenter.org/stories/dreams-derailed" TargetMode="External"/><Relationship Id="rId8" Type="http://schemas.openxmlformats.org/officeDocument/2006/relationships/hyperlink" Target="https://www.federalregister.gov/documents/2022/08/30/2022-18401/deferred-action-for-childhood-arriva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