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ageBreakBefore w:val="0"/>
        <w:widowControl w:val="0"/>
        <w:spacing w:line="240" w:lineRule="auto"/>
        <w:rPr>
          <w:b w:val="1"/>
          <w:color w:val="222222"/>
          <w:sz w:val="21"/>
          <w:szCs w:val="21"/>
          <w:highlight w:val="white"/>
          <w:u w:val="single"/>
        </w:rPr>
      </w:pPr>
      <w:r w:rsidDel="00000000" w:rsidR="00000000" w:rsidRPr="00000000">
        <w:rPr>
          <w:b w:val="1"/>
          <w:color w:val="222222"/>
          <w:sz w:val="21"/>
          <w:szCs w:val="21"/>
          <w:highlight w:val="white"/>
          <w:u w:val="single"/>
          <w:rtl w:val="0"/>
        </w:rPr>
        <w:t xml:space="preserve">  </w:t>
      </w:r>
    </w:p>
    <w:p w:rsidR="00000000" w:rsidDel="00000000" w:rsidP="00000000" w:rsidRDefault="00000000" w:rsidRPr="00000000" w14:paraId="00000002">
      <w:pPr>
        <w:pageBreakBefore w:val="0"/>
        <w:widowControl w:val="0"/>
        <w:spacing w:line="240" w:lineRule="auto"/>
        <w:rPr>
          <w:b w:val="1"/>
          <w:color w:val="222222"/>
          <w:sz w:val="21"/>
          <w:szCs w:val="21"/>
          <w:highlight w:val="white"/>
          <w:u w:val="single"/>
        </w:rPr>
      </w:pPr>
      <w:r w:rsidDel="00000000" w:rsidR="00000000" w:rsidRPr="00000000">
        <w:rPr>
          <w:b w:val="1"/>
          <w:color w:val="222222"/>
          <w:sz w:val="21"/>
          <w:szCs w:val="21"/>
          <w:highlight w:val="white"/>
          <w:u w:val="single"/>
          <w:rtl w:val="0"/>
        </w:rPr>
        <w:t xml:space="preserve">P+</w:t>
      </w:r>
    </w:p>
    <w:p w:rsidR="00000000" w:rsidDel="00000000" w:rsidP="00000000" w:rsidRDefault="00000000" w:rsidRPr="00000000" w14:paraId="00000003">
      <w:pPr>
        <w:pageBreakBefore w:val="0"/>
        <w:widowControl w:val="0"/>
        <w:spacing w:line="240" w:lineRule="auto"/>
        <w:rPr>
          <w:b w:val="1"/>
          <w:i w:val="1"/>
          <w:color w:val="222222"/>
          <w:sz w:val="21"/>
          <w:szCs w:val="21"/>
          <w:highlight w:val="white"/>
        </w:rPr>
      </w:pPr>
      <w:r w:rsidDel="00000000" w:rsidR="00000000" w:rsidRPr="00000000">
        <w:rPr>
          <w:b w:val="1"/>
          <w:color w:val="222222"/>
          <w:sz w:val="21"/>
          <w:szCs w:val="21"/>
          <w:highlight w:val="white"/>
          <w:u w:val="single"/>
          <w:rtl w:val="0"/>
        </w:rPr>
        <w:t xml:space="preserve">I</w:t>
      </w:r>
      <w:r w:rsidDel="00000000" w:rsidR="00000000" w:rsidRPr="00000000">
        <w:rPr>
          <w:b w:val="1"/>
          <w:i w:val="1"/>
          <w:color w:val="222222"/>
          <w:sz w:val="21"/>
          <w:szCs w:val="21"/>
          <w:highlight w:val="white"/>
          <w:u w:val="single"/>
          <w:rtl w:val="0"/>
        </w:rPr>
        <w:t xml:space="preserve">nstructions</w:t>
      </w:r>
      <w:r w:rsidDel="00000000" w:rsidR="00000000" w:rsidRPr="00000000">
        <w:rPr>
          <w:b w:val="1"/>
          <w:i w:val="1"/>
          <w:color w:val="222222"/>
          <w:sz w:val="21"/>
          <w:szCs w:val="21"/>
          <w:highlight w:val="white"/>
          <w:rtl w:val="0"/>
        </w:rPr>
        <w:t xml:space="preserve">: Read the definitions below and use them to determine which best matches the pictures below.</w:t>
      </w:r>
    </w:p>
    <w:p w:rsidR="00000000" w:rsidDel="00000000" w:rsidP="00000000" w:rsidRDefault="00000000" w:rsidRPr="00000000" w14:paraId="00000004">
      <w:pPr>
        <w:pageBreakBefore w:val="0"/>
        <w:widowControl w:val="0"/>
        <w:spacing w:line="240" w:lineRule="auto"/>
        <w:rPr>
          <w:b w:val="1"/>
          <w:color w:val="222222"/>
          <w:sz w:val="21"/>
          <w:szCs w:val="21"/>
          <w:highlight w:val="white"/>
        </w:rPr>
      </w:pPr>
      <w:r w:rsidDel="00000000" w:rsidR="00000000" w:rsidRPr="00000000">
        <w:rPr>
          <w:rtl w:val="0"/>
        </w:rPr>
      </w:r>
    </w:p>
    <w:p w:rsidR="00000000" w:rsidDel="00000000" w:rsidP="00000000" w:rsidRDefault="00000000" w:rsidRPr="00000000" w14:paraId="00000005">
      <w:pPr>
        <w:pageBreakBefore w:val="0"/>
        <w:widowControl w:val="0"/>
        <w:spacing w:line="240" w:lineRule="auto"/>
        <w:rPr>
          <w:sz w:val="21"/>
          <w:szCs w:val="21"/>
          <w:highlight w:val="white"/>
        </w:rPr>
      </w:pPr>
      <w:r w:rsidDel="00000000" w:rsidR="00000000" w:rsidRPr="00000000">
        <w:rPr>
          <w:b w:val="1"/>
          <w:color w:val="222222"/>
          <w:sz w:val="21"/>
          <w:szCs w:val="21"/>
          <w:highlight w:val="white"/>
          <w:rtl w:val="0"/>
        </w:rPr>
        <w:t xml:space="preserve">Syncretism</w:t>
      </w:r>
      <w:r w:rsidDel="00000000" w:rsidR="00000000" w:rsidRPr="00000000">
        <w:rPr>
          <w:color w:val="222222"/>
          <w:sz w:val="21"/>
          <w:szCs w:val="21"/>
          <w:highlight w:val="white"/>
          <w:rtl w:val="0"/>
        </w:rPr>
        <w:t xml:space="preserve">: </w:t>
      </w:r>
      <w:r w:rsidDel="00000000" w:rsidR="00000000" w:rsidRPr="00000000">
        <w:rPr>
          <w:sz w:val="21"/>
          <w:szCs w:val="21"/>
          <w:highlight w:val="white"/>
          <w:rtl w:val="0"/>
        </w:rPr>
        <w:t xml:space="preserve"> is the combining of different beliefs, while blending practices of several originally discrete </w:t>
      </w:r>
      <w:hyperlink r:id="rId6">
        <w:r w:rsidDel="00000000" w:rsidR="00000000" w:rsidRPr="00000000">
          <w:rPr>
            <w:sz w:val="21"/>
            <w:szCs w:val="21"/>
            <w:highlight w:val="white"/>
            <w:rtl w:val="0"/>
          </w:rPr>
          <w:t xml:space="preserve">traditions</w:t>
        </w:r>
      </w:hyperlink>
      <w:r w:rsidDel="00000000" w:rsidR="00000000" w:rsidRPr="00000000">
        <w:rPr>
          <w:sz w:val="21"/>
          <w:szCs w:val="21"/>
          <w:highlight w:val="white"/>
          <w:rtl w:val="0"/>
        </w:rPr>
        <w:t xml:space="preserve">, especially of </w:t>
      </w:r>
      <w:hyperlink r:id="rId7">
        <w:r w:rsidDel="00000000" w:rsidR="00000000" w:rsidRPr="00000000">
          <w:rPr>
            <w:sz w:val="21"/>
            <w:szCs w:val="21"/>
            <w:highlight w:val="white"/>
            <w:rtl w:val="0"/>
          </w:rPr>
          <w:t xml:space="preserve">religion</w:t>
        </w:r>
      </w:hyperlink>
      <w:r w:rsidDel="00000000" w:rsidR="00000000" w:rsidRPr="00000000">
        <w:rPr>
          <w:sz w:val="21"/>
          <w:szCs w:val="21"/>
          <w:highlight w:val="white"/>
          <w:rtl w:val="0"/>
        </w:rPr>
        <w:t xml:space="preserve">, thus allowing for an </w:t>
      </w:r>
      <w:hyperlink r:id="rId8">
        <w:r w:rsidDel="00000000" w:rsidR="00000000" w:rsidRPr="00000000">
          <w:rPr>
            <w:sz w:val="21"/>
            <w:szCs w:val="21"/>
            <w:highlight w:val="white"/>
            <w:rtl w:val="0"/>
          </w:rPr>
          <w:t xml:space="preserve">inclusive</w:t>
        </w:r>
      </w:hyperlink>
      <w:r w:rsidDel="00000000" w:rsidR="00000000" w:rsidRPr="00000000">
        <w:rPr>
          <w:sz w:val="21"/>
          <w:szCs w:val="21"/>
          <w:highlight w:val="white"/>
          <w:rtl w:val="0"/>
        </w:rPr>
        <w:t xml:space="preserve"> approach to other faiths. </w:t>
      </w:r>
    </w:p>
    <w:p w:rsidR="00000000" w:rsidDel="00000000" w:rsidP="00000000" w:rsidRDefault="00000000" w:rsidRPr="00000000" w14:paraId="00000006">
      <w:pPr>
        <w:pageBreakBefore w:val="0"/>
        <w:widowControl w:val="0"/>
        <w:spacing w:line="240" w:lineRule="auto"/>
        <w:rPr>
          <w:color w:val="222222"/>
          <w:sz w:val="21"/>
          <w:szCs w:val="21"/>
          <w:highlight w:val="white"/>
        </w:rPr>
      </w:pPr>
      <w:r w:rsidDel="00000000" w:rsidR="00000000" w:rsidRPr="00000000">
        <w:rPr>
          <w:rtl w:val="0"/>
        </w:rPr>
      </w:r>
    </w:p>
    <w:p w:rsidR="00000000" w:rsidDel="00000000" w:rsidP="00000000" w:rsidRDefault="00000000" w:rsidRPr="00000000" w14:paraId="00000007">
      <w:pPr>
        <w:pageBreakBefore w:val="0"/>
        <w:widowControl w:val="0"/>
        <w:spacing w:line="240" w:lineRule="auto"/>
        <w:rPr>
          <w:sz w:val="21"/>
          <w:szCs w:val="21"/>
          <w:highlight w:val="white"/>
        </w:rPr>
      </w:pPr>
      <w:r w:rsidDel="00000000" w:rsidR="00000000" w:rsidRPr="00000000">
        <w:rPr>
          <w:b w:val="1"/>
          <w:color w:val="222222"/>
          <w:sz w:val="21"/>
          <w:szCs w:val="21"/>
          <w:highlight w:val="white"/>
          <w:rtl w:val="0"/>
        </w:rPr>
        <w:t xml:space="preserve">Assimilation</w:t>
      </w:r>
      <w:r w:rsidDel="00000000" w:rsidR="00000000" w:rsidRPr="00000000">
        <w:rPr>
          <w:color w:val="222222"/>
          <w:sz w:val="21"/>
          <w:szCs w:val="21"/>
          <w:highlight w:val="white"/>
          <w:rtl w:val="0"/>
        </w:rPr>
        <w:t xml:space="preserve">:</w:t>
      </w:r>
      <w:r w:rsidDel="00000000" w:rsidR="00000000" w:rsidRPr="00000000">
        <w:rPr>
          <w:b w:val="1"/>
          <w:color w:val="222222"/>
          <w:sz w:val="21"/>
          <w:szCs w:val="21"/>
          <w:highlight w:val="white"/>
          <w:rtl w:val="0"/>
        </w:rPr>
        <w:t xml:space="preserve"> </w:t>
      </w:r>
      <w:r w:rsidDel="00000000" w:rsidR="00000000" w:rsidRPr="00000000">
        <w:rPr>
          <w:sz w:val="21"/>
          <w:szCs w:val="21"/>
          <w:highlight w:val="white"/>
          <w:rtl w:val="0"/>
        </w:rPr>
        <w:t xml:space="preserve">is the process in which a </w:t>
      </w:r>
      <w:hyperlink r:id="rId9">
        <w:r w:rsidDel="00000000" w:rsidR="00000000" w:rsidRPr="00000000">
          <w:rPr>
            <w:sz w:val="21"/>
            <w:szCs w:val="21"/>
            <w:highlight w:val="white"/>
            <w:rtl w:val="0"/>
          </w:rPr>
          <w:t xml:space="preserve">minority group</w:t>
        </w:r>
      </w:hyperlink>
      <w:r w:rsidDel="00000000" w:rsidR="00000000" w:rsidRPr="00000000">
        <w:rPr>
          <w:sz w:val="21"/>
          <w:szCs w:val="21"/>
          <w:highlight w:val="white"/>
          <w:rtl w:val="0"/>
        </w:rPr>
        <w:t xml:space="preserve"> or </w:t>
      </w:r>
      <w:hyperlink r:id="rId10">
        <w:r w:rsidDel="00000000" w:rsidR="00000000" w:rsidRPr="00000000">
          <w:rPr>
            <w:sz w:val="21"/>
            <w:szCs w:val="21"/>
            <w:highlight w:val="white"/>
            <w:rtl w:val="0"/>
          </w:rPr>
          <w:t xml:space="preserve">culture</w:t>
        </w:r>
      </w:hyperlink>
      <w:r w:rsidDel="00000000" w:rsidR="00000000" w:rsidRPr="00000000">
        <w:rPr>
          <w:sz w:val="21"/>
          <w:szCs w:val="21"/>
          <w:highlight w:val="white"/>
          <w:rtl w:val="0"/>
        </w:rPr>
        <w:t xml:space="preserve"> comes to resemble a dominant group or assume the values, behaviors, and beliefs of another group.</w:t>
      </w:r>
    </w:p>
    <w:p w:rsidR="00000000" w:rsidDel="00000000" w:rsidP="00000000" w:rsidRDefault="00000000" w:rsidRPr="00000000" w14:paraId="00000008">
      <w:pPr>
        <w:pageBreakBefore w:val="0"/>
        <w:widowControl w:val="0"/>
        <w:spacing w:line="240" w:lineRule="auto"/>
        <w:rPr>
          <w:color w:val="222222"/>
          <w:sz w:val="21"/>
          <w:szCs w:val="21"/>
          <w:highlight w:val="white"/>
        </w:rPr>
      </w:pPr>
      <w:r w:rsidDel="00000000" w:rsidR="00000000" w:rsidRPr="00000000">
        <w:rPr>
          <w:rtl w:val="0"/>
        </w:rPr>
      </w:r>
    </w:p>
    <w:p w:rsidR="00000000" w:rsidDel="00000000" w:rsidP="00000000" w:rsidRDefault="00000000" w:rsidRPr="00000000" w14:paraId="00000009">
      <w:pPr>
        <w:pageBreakBefore w:val="0"/>
        <w:widowControl w:val="0"/>
        <w:spacing w:line="240" w:lineRule="auto"/>
        <w:rPr>
          <w:sz w:val="21"/>
          <w:szCs w:val="21"/>
          <w:highlight w:val="white"/>
        </w:rPr>
      </w:pPr>
      <w:r w:rsidDel="00000000" w:rsidR="00000000" w:rsidRPr="00000000">
        <w:rPr>
          <w:b w:val="1"/>
          <w:sz w:val="21"/>
          <w:szCs w:val="21"/>
          <w:highlight w:val="white"/>
          <w:rtl w:val="0"/>
        </w:rPr>
        <w:t xml:space="preserve">Multiculturalism</w:t>
      </w:r>
      <w:r w:rsidDel="00000000" w:rsidR="00000000" w:rsidRPr="00000000">
        <w:rPr>
          <w:color w:val="222222"/>
          <w:sz w:val="21"/>
          <w:szCs w:val="21"/>
          <w:highlight w:val="white"/>
          <w:rtl w:val="0"/>
        </w:rPr>
        <w:t xml:space="preserve">: i</w:t>
      </w:r>
      <w:r w:rsidDel="00000000" w:rsidR="00000000" w:rsidRPr="00000000">
        <w:rPr>
          <w:sz w:val="21"/>
          <w:szCs w:val="21"/>
          <w:highlight w:val="white"/>
          <w:rtl w:val="0"/>
        </w:rPr>
        <w:t xml:space="preserve">n which various ethnic groups collaborate and enter into a dialogue with one another without having to sacrifice their particular identities. It can describe a mixed ethnic community area where multiple cultural traditions exist (such as </w:t>
      </w:r>
      <w:hyperlink r:id="rId11">
        <w:r w:rsidDel="00000000" w:rsidR="00000000" w:rsidRPr="00000000">
          <w:rPr>
            <w:sz w:val="21"/>
            <w:szCs w:val="21"/>
            <w:highlight w:val="white"/>
            <w:rtl w:val="0"/>
          </w:rPr>
          <w:t xml:space="preserve">New York City</w:t>
        </w:r>
      </w:hyperlink>
      <w:r w:rsidDel="00000000" w:rsidR="00000000" w:rsidRPr="00000000">
        <w:rPr>
          <w:sz w:val="21"/>
          <w:szCs w:val="21"/>
          <w:highlight w:val="white"/>
          <w:rtl w:val="0"/>
        </w:rPr>
        <w:t xml:space="preserve">) or a single country within which they do (such as Switzerland, Belgium or Russia)</w:t>
      </w:r>
    </w:p>
    <w:p w:rsidR="00000000" w:rsidDel="00000000" w:rsidP="00000000" w:rsidRDefault="00000000" w:rsidRPr="00000000" w14:paraId="0000000A">
      <w:pPr>
        <w:pageBreakBefore w:val="0"/>
        <w:widowControl w:val="0"/>
        <w:spacing w:line="240" w:lineRule="auto"/>
        <w:rPr>
          <w:color w:val="222222"/>
          <w:sz w:val="21"/>
          <w:szCs w:val="21"/>
          <w:highlight w:val="white"/>
        </w:rPr>
      </w:pPr>
      <w:r w:rsidDel="00000000" w:rsidR="00000000" w:rsidRPr="00000000">
        <w:rPr>
          <w:rtl w:val="0"/>
        </w:rPr>
      </w:r>
    </w:p>
    <w:p w:rsidR="00000000" w:rsidDel="00000000" w:rsidP="00000000" w:rsidRDefault="00000000" w:rsidRPr="00000000" w14:paraId="0000000B">
      <w:pPr>
        <w:pageBreakBefore w:val="0"/>
        <w:widowControl w:val="0"/>
        <w:spacing w:line="240" w:lineRule="auto"/>
        <w:rPr>
          <w:sz w:val="21"/>
          <w:szCs w:val="21"/>
          <w:highlight w:val="white"/>
        </w:rPr>
      </w:pPr>
      <w:r w:rsidDel="00000000" w:rsidR="00000000" w:rsidRPr="00000000">
        <w:rPr>
          <w:b w:val="1"/>
          <w:color w:val="222222"/>
          <w:sz w:val="21"/>
          <w:szCs w:val="21"/>
          <w:highlight w:val="white"/>
          <w:rtl w:val="0"/>
        </w:rPr>
        <w:t xml:space="preserve">Acculturatio</w:t>
      </w:r>
      <w:r w:rsidDel="00000000" w:rsidR="00000000" w:rsidRPr="00000000">
        <w:rPr>
          <w:b w:val="1"/>
          <w:color w:val="222222"/>
          <w:sz w:val="21"/>
          <w:szCs w:val="21"/>
          <w:highlight w:val="white"/>
          <w:rtl w:val="0"/>
        </w:rPr>
        <w:t xml:space="preserve">n</w:t>
      </w:r>
      <w:r w:rsidDel="00000000" w:rsidR="00000000" w:rsidRPr="00000000">
        <w:rPr>
          <w:color w:val="222222"/>
          <w:sz w:val="21"/>
          <w:szCs w:val="21"/>
          <w:highlight w:val="white"/>
          <w:rtl w:val="0"/>
        </w:rPr>
        <w:t xml:space="preserve">: i</w:t>
      </w:r>
      <w:r w:rsidDel="00000000" w:rsidR="00000000" w:rsidRPr="00000000">
        <w:rPr>
          <w:sz w:val="21"/>
          <w:szCs w:val="21"/>
          <w:highlight w:val="white"/>
          <w:rtl w:val="0"/>
        </w:rPr>
        <w:t xml:space="preserve">s a process of social, psychological, and </w:t>
      </w:r>
      <w:hyperlink r:id="rId12">
        <w:r w:rsidDel="00000000" w:rsidR="00000000" w:rsidRPr="00000000">
          <w:rPr>
            <w:sz w:val="21"/>
            <w:szCs w:val="21"/>
            <w:highlight w:val="white"/>
            <w:rtl w:val="0"/>
          </w:rPr>
          <w:t xml:space="preserve">cultural change</w:t>
        </w:r>
      </w:hyperlink>
      <w:r w:rsidDel="00000000" w:rsidR="00000000" w:rsidRPr="00000000">
        <w:rPr>
          <w:sz w:val="21"/>
          <w:szCs w:val="21"/>
          <w:highlight w:val="white"/>
          <w:rtl w:val="0"/>
        </w:rPr>
        <w:t xml:space="preserve"> that stems from the balancing of two cultures while adapting to the prevailing culture of the society. Acculturation is a process in which an individual adopts, acquires and adjusts to a new cultural environment. Individuals of a differing culture try to incorporate themselves into the new more prevalent culture by participating in aspects of the more prevalent culture, such as their traditions, but still hold onto their original cultural values and traditions.</w:t>
      </w:r>
    </w:p>
    <w:p w:rsidR="00000000" w:rsidDel="00000000" w:rsidP="00000000" w:rsidRDefault="00000000" w:rsidRPr="00000000" w14:paraId="0000000C">
      <w:pPr>
        <w:pageBreakBefore w:val="0"/>
        <w:widowControl w:val="0"/>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0D">
      <w:pPr>
        <w:pageBreakBefore w:val="0"/>
        <w:widowControl w:val="0"/>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0E">
      <w:pPr>
        <w:pageBreakBefore w:val="0"/>
        <w:widowControl w:val="0"/>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Pr>
        <w:drawing>
          <wp:inline distB="114300" distT="114300" distL="114300" distR="114300">
            <wp:extent cx="5662613" cy="5662613"/>
            <wp:effectExtent b="0" l="0" r="0" t="0"/>
            <wp:docPr id="1"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5662613" cy="5662613"/>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pageBreakBefore w:val="0"/>
        <w:widowControl w:val="0"/>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10">
      <w:pPr>
        <w:pageBreakBefore w:val="0"/>
        <w:widowControl w:val="0"/>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11">
      <w:pPr>
        <w:pageBreakBefore w:val="0"/>
        <w:widowControl w:val="0"/>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Pr>
        <w:drawing>
          <wp:inline distB="114300" distT="114300" distL="114300" distR="114300">
            <wp:extent cx="5824538" cy="3870619"/>
            <wp:effectExtent b="0" l="0" r="0" t="0"/>
            <wp:docPr id="5"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5824538" cy="3870619"/>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pageBreakBefore w:val="0"/>
        <w:widowControl w:val="0"/>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13">
      <w:pPr>
        <w:pageBreakBefore w:val="0"/>
        <w:widowControl w:val="0"/>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14">
      <w:pPr>
        <w:pageBreakBefore w:val="0"/>
        <w:widowControl w:val="0"/>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15">
      <w:pPr>
        <w:pageBreakBefore w:val="0"/>
        <w:widowControl w:val="0"/>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Pr>
        <w:drawing>
          <wp:inline distB="114300" distT="114300" distL="114300" distR="114300">
            <wp:extent cx="5723246" cy="4576763"/>
            <wp:effectExtent b="0" l="0" r="0" t="0"/>
            <wp:docPr id="4"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5723246" cy="4576763"/>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pageBreakBefore w:val="0"/>
        <w:widowControl w:val="0"/>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17">
      <w:pPr>
        <w:pageBreakBefore w:val="0"/>
        <w:widowControl w:val="0"/>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18">
      <w:pPr>
        <w:pageBreakBefore w:val="0"/>
        <w:widowControl w:val="0"/>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Pr>
        <w:drawing>
          <wp:inline distB="114300" distT="114300" distL="114300" distR="114300">
            <wp:extent cx="5943600" cy="4178300"/>
            <wp:effectExtent b="0" l="0" r="0" t="0"/>
            <wp:docPr id="2" name="image2.png"/>
            <a:graphic>
              <a:graphicData uri="http://schemas.openxmlformats.org/drawingml/2006/picture">
                <pic:pic>
                  <pic:nvPicPr>
                    <pic:cNvPr id="0" name="image2.png"/>
                    <pic:cNvPicPr preferRelativeResize="0"/>
                  </pic:nvPicPr>
                  <pic:blipFill>
                    <a:blip r:embed="rId16"/>
                    <a:srcRect b="0" l="0" r="0" t="0"/>
                    <a:stretch>
                      <a:fillRect/>
                    </a:stretch>
                  </pic:blipFill>
                  <pic:spPr>
                    <a:xfrm>
                      <a:off x="0" y="0"/>
                      <a:ext cx="5943600" cy="4178300"/>
                    </a:xfrm>
                    <a:prstGeom prst="rect"/>
                    <a:ln/>
                  </pic:spPr>
                </pic:pic>
              </a:graphicData>
            </a:graphic>
          </wp:inline>
        </w:drawing>
      </w:r>
      <w:r w:rsidDel="00000000" w:rsidR="00000000" w:rsidRPr="00000000">
        <w:rPr>
          <w:rtl w:val="0"/>
        </w:rPr>
      </w:r>
    </w:p>
    <w:sectPr>
      <w:headerReference r:id="rId17" w:type="default"/>
      <w:pgSz w:h="15840" w:w="12240" w:orient="portrait"/>
      <w:pgMar w:bottom="720" w:top="720" w:left="720" w:right="72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Georgia"/>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19">
    <w:pPr>
      <w:spacing w:line="276" w:lineRule="auto"/>
      <w:rPr>
        <w:rFonts w:ascii="Georgia" w:cs="Georgia" w:eastAsia="Georgia" w:hAnsi="Georgia"/>
        <w:b w:val="1"/>
        <w:color w:val="666666"/>
      </w:rPr>
    </w:pPr>
    <w:r w:rsidDel="00000000" w:rsidR="00000000" w:rsidRPr="00000000">
      <w:rPr>
        <w:rFonts w:ascii="Georgia" w:cs="Georgia" w:eastAsia="Georgia" w:hAnsi="Georgia"/>
        <w:b w:val="1"/>
        <w:color w:val="666666"/>
        <w:rtl w:val="0"/>
      </w:rPr>
      <w:t xml:space="preserve">The African Diaspora and the Development of American Culture</w:t>
    </w:r>
    <w:r w:rsidDel="00000000" w:rsidR="00000000" w:rsidRPr="00000000">
      <w:drawing>
        <wp:anchor allowOverlap="1" behindDoc="1" distB="114300" distT="114300" distL="114300" distR="114300" hidden="0" layoutInCell="1" locked="0" relativeHeight="0" simplePos="0">
          <wp:simplePos x="0" y="0"/>
          <wp:positionH relativeFrom="column">
            <wp:posOffset>4667250</wp:posOffset>
          </wp:positionH>
          <wp:positionV relativeFrom="paragraph">
            <wp:posOffset>-142874</wp:posOffset>
          </wp:positionV>
          <wp:extent cx="1954592" cy="442913"/>
          <wp:effectExtent b="0" l="0" r="0" t="0"/>
          <wp:wrapNone/>
          <wp:docPr id="3"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1954592" cy="442913"/>
                  </a:xfrm>
                  <a:prstGeom prst="rect"/>
                  <a:ln/>
                </pic:spPr>
              </pic:pic>
            </a:graphicData>
          </a:graphic>
        </wp:anchor>
      </w:drawing>
    </w:r>
  </w:p>
  <w:p w:rsidR="00000000" w:rsidDel="00000000" w:rsidP="00000000" w:rsidRDefault="00000000" w:rsidRPr="00000000" w14:paraId="0000001A">
    <w:pPr>
      <w:spacing w:line="276" w:lineRule="auto"/>
      <w:rPr>
        <w:rFonts w:ascii="Georgia" w:cs="Georgia" w:eastAsia="Georgia" w:hAnsi="Georgia"/>
        <w:color w:val="666666"/>
      </w:rPr>
    </w:pPr>
    <w:r w:rsidDel="00000000" w:rsidR="00000000" w:rsidRPr="00000000">
      <w:rPr>
        <w:rFonts w:ascii="Georgia" w:cs="Georgia" w:eastAsia="Georgia" w:hAnsi="Georgia"/>
        <w:color w:val="666666"/>
        <w:rtl w:val="0"/>
      </w:rPr>
      <w:t xml:space="preserve">Unit by BROOKS EAGLES team, part of the 2022 cohort of </w:t>
    </w:r>
    <w:r w:rsidDel="00000000" w:rsidR="00000000" w:rsidRPr="00000000">
      <w:rPr>
        <w:rFonts w:ascii="Georgia" w:cs="Georgia" w:eastAsia="Georgia" w:hAnsi="Georgia"/>
        <w:i w:val="1"/>
        <w:color w:val="666666"/>
        <w:rtl w:val="0"/>
      </w:rPr>
      <w:t xml:space="preserve">The 1619 Project</w:t>
    </w:r>
    <w:r w:rsidDel="00000000" w:rsidR="00000000" w:rsidRPr="00000000">
      <w:rPr>
        <w:rFonts w:ascii="Georgia" w:cs="Georgia" w:eastAsia="Georgia" w:hAnsi="Georgia"/>
        <w:color w:val="666666"/>
        <w:rtl w:val="0"/>
      </w:rPr>
      <w:t xml:space="preserve"> Education Network</w:t>
    </w:r>
  </w:p>
  <w:p w:rsidR="00000000" w:rsidDel="00000000" w:rsidP="00000000" w:rsidRDefault="00000000" w:rsidRPr="00000000" w14:paraId="0000001B">
    <w:pPr>
      <w:spacing w:line="276" w:lineRule="auto"/>
      <w:rPr/>
    </w:pPr>
    <w:r w:rsidDel="00000000" w:rsidR="00000000" w:rsidRPr="00000000">
      <w:rPr>
        <w:rFonts w:ascii="Georgia" w:cs="Georgia" w:eastAsia="Georgia" w:hAnsi="Georgia"/>
        <w:rtl w:val="0"/>
      </w:rPr>
      <w:t xml:space="preserve">__________________________________________________________________</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yperlink" Target="https://en.wikipedia.org/wiki/New_York_City" TargetMode="External"/><Relationship Id="rId10" Type="http://schemas.openxmlformats.org/officeDocument/2006/relationships/hyperlink" Target="https://en.wikipedia.org/wiki/Culture" TargetMode="External"/><Relationship Id="rId13" Type="http://schemas.openxmlformats.org/officeDocument/2006/relationships/image" Target="media/image5.png"/><Relationship Id="rId12" Type="http://schemas.openxmlformats.org/officeDocument/2006/relationships/hyperlink" Target="https://en.wikipedia.org/wiki/Cultural_change"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en.wikipedia.org/wiki/Minority_group" TargetMode="External"/><Relationship Id="rId15" Type="http://schemas.openxmlformats.org/officeDocument/2006/relationships/image" Target="media/image3.png"/><Relationship Id="rId14" Type="http://schemas.openxmlformats.org/officeDocument/2006/relationships/image" Target="media/image4.png"/><Relationship Id="rId17" Type="http://schemas.openxmlformats.org/officeDocument/2006/relationships/header" Target="header1.xml"/><Relationship Id="rId16" Type="http://schemas.openxmlformats.org/officeDocument/2006/relationships/image" Target="media/image2.png"/><Relationship Id="rId5" Type="http://schemas.openxmlformats.org/officeDocument/2006/relationships/styles" Target="styles.xml"/><Relationship Id="rId6" Type="http://schemas.openxmlformats.org/officeDocument/2006/relationships/hyperlink" Target="https://en.wikipedia.org/wiki/Tradition" TargetMode="External"/><Relationship Id="rId7" Type="http://schemas.openxmlformats.org/officeDocument/2006/relationships/hyperlink" Target="https://en.wikipedia.org/wiki/Religion" TargetMode="External"/><Relationship Id="rId8" Type="http://schemas.openxmlformats.org/officeDocument/2006/relationships/hyperlink" Target="https://en.wikipedia.org/wiki/Inclusivis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