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295900" cy="3167063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167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  <w:color w:val="202122"/>
          <w:sz w:val="21"/>
          <w:szCs w:val="21"/>
          <w:highlight w:val="white"/>
        </w:rPr>
      </w:pPr>
      <w:r w:rsidDel="00000000" w:rsidR="00000000" w:rsidRPr="00000000">
        <w:rPr>
          <w:b w:val="1"/>
          <w:rtl w:val="0"/>
        </w:rPr>
        <w:t xml:space="preserve">A) Pilgrim Baptist Church, formerly </w:t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Kehilath Anshe Ma'ariv Synagogue </w:t>
      </w:r>
    </w:p>
    <w:p w:rsidR="00000000" w:rsidDel="00000000" w:rsidP="00000000" w:rsidRDefault="00000000" w:rsidRPr="00000000" w14:paraId="00000003">
      <w:pPr>
        <w:rPr>
          <w:b w:val="1"/>
          <w:color w:val="202122"/>
          <w:sz w:val="21"/>
          <w:szCs w:val="21"/>
          <w:highlight w:val="white"/>
        </w:rPr>
      </w:pP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Located at 3301 S. Indiana Ave, the church is in the heart of Chicago's </w:t>
      </w:r>
      <w:hyperlink r:id="rId7">
        <w:r w:rsidDel="00000000" w:rsidR="00000000" w:rsidRPr="00000000">
          <w:rPr>
            <w:b w:val="1"/>
            <w:color w:val="faa700"/>
            <w:sz w:val="21"/>
            <w:szCs w:val="21"/>
            <w:highlight w:val="white"/>
            <w:u w:val="single"/>
            <w:rtl w:val="0"/>
          </w:rPr>
          <w:t xml:space="preserve">Bronzeville</w:t>
        </w:r>
      </w:hyperlink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 neighborhood.</w:t>
      </w:r>
    </w:p>
    <w:p w:rsidR="00000000" w:rsidDel="00000000" w:rsidP="00000000" w:rsidRDefault="00000000" w:rsidRPr="00000000" w14:paraId="00000004">
      <w:pPr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4"/>
        </w:numPr>
        <w:ind w:left="720" w:hanging="360"/>
        <w:rPr>
          <w:color w:val="202122"/>
          <w:sz w:val="21"/>
          <w:szCs w:val="21"/>
          <w:highlight w:val="white"/>
          <w:u w:val="non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Define cultural landscape </w:t>
      </w:r>
    </w:p>
    <w:p w:rsidR="00000000" w:rsidDel="00000000" w:rsidP="00000000" w:rsidRDefault="00000000" w:rsidRPr="00000000" w14:paraId="00000006">
      <w:pPr>
        <w:numPr>
          <w:ilvl w:val="0"/>
          <w:numId w:val="4"/>
        </w:numPr>
        <w:ind w:left="720" w:hanging="360"/>
        <w:rPr>
          <w:color w:val="202122"/>
          <w:sz w:val="21"/>
          <w:szCs w:val="21"/>
          <w:highlight w:val="white"/>
          <w:u w:val="non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Explain how this building is an example of sequent occupance </w:t>
      </w:r>
    </w:p>
    <w:p w:rsidR="00000000" w:rsidDel="00000000" w:rsidP="00000000" w:rsidRDefault="00000000" w:rsidRPr="00000000" w14:paraId="00000007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Define relocation diffusion</w:t>
      </w:r>
    </w:p>
    <w:p w:rsidR="00000000" w:rsidDel="00000000" w:rsidP="00000000" w:rsidRDefault="00000000" w:rsidRPr="00000000" w14:paraId="00000008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Explain one way that relocation diffusion culturally changed the Bronzeville Area</w:t>
      </w:r>
    </w:p>
    <w:p w:rsidR="00000000" w:rsidDel="00000000" w:rsidP="00000000" w:rsidRDefault="00000000" w:rsidRPr="00000000" w14:paraId="00000009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Why did this building become a Baptist church instead of another religious structure?</w:t>
      </w:r>
    </w:p>
    <w:p w:rsidR="00000000" w:rsidDel="00000000" w:rsidP="00000000" w:rsidRDefault="00000000" w:rsidRPr="00000000" w14:paraId="0000000A">
      <w:pPr>
        <w:ind w:left="720" w:firstLine="0"/>
        <w:rPr/>
      </w:pPr>
      <w:r w:rsidDel="00000000" w:rsidR="00000000" w:rsidRPr="00000000">
        <w:rPr>
          <w:rtl w:val="0"/>
        </w:rPr>
        <w:t xml:space="preserve">How did it reflect the migrants coming to Chicago </w:t>
      </w:r>
    </w:p>
    <w:p w:rsidR="00000000" w:rsidDel="00000000" w:rsidP="00000000" w:rsidRDefault="00000000" w:rsidRPr="00000000" w14:paraId="0000000B">
      <w:pPr>
        <w:ind w:left="0" w:firstLine="0"/>
        <w:rPr/>
      </w:pPr>
      <w:r w:rsidDel="00000000" w:rsidR="00000000" w:rsidRPr="00000000">
        <w:rPr>
          <w:rtl w:val="0"/>
        </w:rPr>
        <w:t xml:space="preserve">     </w:t>
      </w:r>
    </w:p>
    <w:p w:rsidR="00000000" w:rsidDel="00000000" w:rsidP="00000000" w:rsidRDefault="00000000" w:rsidRPr="00000000" w14:paraId="0000000C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B) Slang Expressions that have become common expressions </w:t>
      </w:r>
    </w:p>
    <w:p w:rsidR="00000000" w:rsidDel="00000000" w:rsidP="00000000" w:rsidRDefault="00000000" w:rsidRPr="00000000" w14:paraId="0000000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0" w:firstLine="0"/>
        <w:rPr>
          <w:rFonts w:ascii="Times New Roman" w:cs="Times New Roman" w:eastAsia="Times New Roman" w:hAnsi="Times New Roman"/>
          <w:color w:val="444c6c"/>
          <w:sz w:val="24"/>
          <w:szCs w:val="24"/>
          <w:highlight w:val="white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444c6c"/>
          <w:sz w:val="24"/>
          <w:szCs w:val="24"/>
          <w:highlight w:val="white"/>
          <w:rtl w:val="0"/>
        </w:rPr>
        <w:t xml:space="preserve">“My bad.” This phrase is used to offer apologies for wrongdoing. If someone hits a person in error, for instance, they would say something like: “Oops, my bad.” It means: “I apologize; it was my mistake. Forgive me.” </w:t>
      </w:r>
    </w:p>
    <w:p w:rsidR="00000000" w:rsidDel="00000000" w:rsidP="00000000" w:rsidRDefault="00000000" w:rsidRPr="00000000" w14:paraId="0000000F">
      <w:pPr>
        <w:ind w:left="0" w:firstLine="0"/>
        <w:rPr>
          <w:rFonts w:ascii="Times New Roman" w:cs="Times New Roman" w:eastAsia="Times New Roman" w:hAnsi="Times New Roman"/>
          <w:color w:val="444c6c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0" w:firstLine="0"/>
        <w:rPr/>
      </w:pPr>
      <w:r w:rsidDel="00000000" w:rsidR="00000000" w:rsidRPr="00000000">
        <w:rPr>
          <w:rFonts w:ascii="Times New Roman" w:cs="Times New Roman" w:eastAsia="Times New Roman" w:hAnsi="Times New Roman"/>
          <w:color w:val="444c6c"/>
          <w:sz w:val="24"/>
          <w:szCs w:val="24"/>
          <w:highlight w:val="white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color w:val="444c6c"/>
          <w:sz w:val="24"/>
          <w:szCs w:val="24"/>
          <w:highlight w:val="white"/>
          <w:rtl w:val="0"/>
        </w:rPr>
        <w:t xml:space="preserve">We straight</w:t>
      </w:r>
      <w:r w:rsidDel="00000000" w:rsidR="00000000" w:rsidRPr="00000000">
        <w:rPr>
          <w:rFonts w:ascii="Times New Roman" w:cs="Times New Roman" w:eastAsia="Times New Roman" w:hAnsi="Times New Roman"/>
          <w:color w:val="444c6c"/>
          <w:sz w:val="24"/>
          <w:szCs w:val="24"/>
          <w:highlight w:val="white"/>
          <w:rtl w:val="0"/>
        </w:rPr>
        <w:t xml:space="preserve">.” In Black American English, “straight” can mean “all right.” So “we straight” [we’re straight] means “That’s OK. No worries. We are all right.”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Explain how phrases such as the two above have spread due to contagious diffusion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Explain how phrases can spread due to hierarchical  diffusion 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Explain the difference between a pidgin and creole. Would you consider these phrases to be pidgin or creole? Why?</w:t>
      </w:r>
    </w:p>
    <w:p w:rsidR="00000000" w:rsidDel="00000000" w:rsidP="00000000" w:rsidRDefault="00000000" w:rsidRPr="00000000" w14:paraId="00000016">
      <w:pPr>
        <w:ind w:left="0" w:firstLine="0"/>
        <w:rPr>
          <w:b w:val="1"/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0" w:firstLine="0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C) Picture of Voodoo Shop in New Orleans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firstLine="0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     </w:t>
      </w: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5124450" cy="2485897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4858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Define syncretism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Describe how a syncretic religion might form in a Multicultural Society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Explain how syncretism is an effect of cultural diffusion 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Explain why this voodoo shop is an example of syncretism</w:t>
      </w:r>
    </w:p>
    <w:p w:rsidR="00000000" w:rsidDel="00000000" w:rsidP="00000000" w:rsidRDefault="00000000" w:rsidRPr="00000000" w14:paraId="0000001D">
      <w:pPr>
        <w:ind w:left="0" w:firstLine="0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0" w:firstLine="0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0" w:firstLine="0"/>
        <w:rPr>
          <w:b w:val="1"/>
          <w:color w:val="202122"/>
          <w:sz w:val="21"/>
          <w:szCs w:val="21"/>
          <w:highlight w:val="white"/>
        </w:rPr>
      </w:pP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D) Ethnocentrism vs. Cultural Relativism </w:t>
      </w:r>
    </w:p>
    <w:p w:rsidR="00000000" w:rsidDel="00000000" w:rsidP="00000000" w:rsidRDefault="00000000" w:rsidRPr="00000000" w14:paraId="00000020">
      <w:pPr>
        <w:numPr>
          <w:ilvl w:val="0"/>
          <w:numId w:val="5"/>
        </w:numPr>
        <w:ind w:left="720" w:hanging="360"/>
        <w:rPr>
          <w:color w:val="202122"/>
          <w:sz w:val="21"/>
          <w:szCs w:val="21"/>
          <w:highlight w:val="white"/>
          <w:u w:val="non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Explain the difference between cultural relativism and ethnocentrism </w:t>
      </w:r>
    </w:p>
    <w:p w:rsidR="00000000" w:rsidDel="00000000" w:rsidP="00000000" w:rsidRDefault="00000000" w:rsidRPr="00000000" w14:paraId="00000021">
      <w:pPr>
        <w:numPr>
          <w:ilvl w:val="0"/>
          <w:numId w:val="5"/>
        </w:numPr>
        <w:ind w:left="720" w:hanging="360"/>
        <w:rPr>
          <w:color w:val="202122"/>
          <w:sz w:val="21"/>
          <w:szCs w:val="21"/>
          <w:highlight w:val="white"/>
          <w:u w:val="non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Give 2 examples from your studies of the 1619 project about a time in history when African Americans experienced ethnocentrism </w:t>
      </w:r>
    </w:p>
    <w:p w:rsidR="00000000" w:rsidDel="00000000" w:rsidP="00000000" w:rsidRDefault="00000000" w:rsidRPr="00000000" w14:paraId="00000022">
      <w:pPr>
        <w:ind w:left="0" w:firstLine="0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0" w:firstLine="0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0" w:firstLine="0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0" w:firstLine="0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0" w:firstLine="0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0" w:firstLine="0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0" w:firstLine="0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0" w:firstLine="0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0" w:firstLine="0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firstLine="0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0" w:firstLine="0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firstLine="0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0" w:firstLine="0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0" w:firstLine="0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0" w:firstLine="0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0" w:firstLine="0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0" w:firstLine="0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0" w:firstLine="0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0" w:firstLine="0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0" w:firstLine="0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0" w:firstLine="0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0" w:firstLine="0"/>
        <w:rPr>
          <w:b w:val="1"/>
          <w:color w:val="202122"/>
          <w:sz w:val="21"/>
          <w:szCs w:val="21"/>
          <w:highlight w:val="white"/>
        </w:rPr>
      </w:pP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E) Multiculturalism vs.. Assimilation </w:t>
      </w:r>
    </w:p>
    <w:p w:rsidR="00000000" w:rsidDel="00000000" w:rsidP="00000000" w:rsidRDefault="00000000" w:rsidRPr="00000000" w14:paraId="00000038">
      <w:pPr>
        <w:ind w:left="0" w:firstLine="0"/>
        <w:rPr>
          <w:b w:val="1"/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0" w:firstLine="0"/>
        <w:rPr>
          <w:b w:val="1"/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0" w:firstLine="0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2852738" cy="150495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2738" cy="1504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0" w:firstLine="0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Picture 1</w:t>
      </w:r>
    </w:p>
    <w:p w:rsidR="00000000" w:rsidDel="00000000" w:rsidP="00000000" w:rsidRDefault="00000000" w:rsidRPr="00000000" w14:paraId="0000003C">
      <w:pPr>
        <w:ind w:left="0" w:firstLine="0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0" w:firstLine="0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2466975" cy="1857375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57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0" w:firstLine="0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Picture  2</w:t>
      </w:r>
    </w:p>
    <w:p w:rsidR="00000000" w:rsidDel="00000000" w:rsidP="00000000" w:rsidRDefault="00000000" w:rsidRPr="00000000" w14:paraId="0000003F">
      <w:pPr>
        <w:ind w:left="0" w:firstLine="0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3"/>
        </w:numPr>
        <w:ind w:left="720" w:hanging="360"/>
        <w:rPr>
          <w:color w:val="202122"/>
          <w:sz w:val="21"/>
          <w:szCs w:val="21"/>
          <w:highlight w:val="white"/>
          <w:u w:val="non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Define multiculturalism and assimilation. Select the picture above that represents the concept of each </w:t>
      </w:r>
    </w:p>
    <w:p w:rsidR="00000000" w:rsidDel="00000000" w:rsidP="00000000" w:rsidRDefault="00000000" w:rsidRPr="00000000" w14:paraId="00000041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Describe one reason why a migrant might resist assimilation into a host society</w:t>
      </w:r>
    </w:p>
    <w:p w:rsidR="00000000" w:rsidDel="00000000" w:rsidP="00000000" w:rsidRDefault="00000000" w:rsidRPr="00000000" w14:paraId="00000042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Refer to an instance from the 1619 project in which African Americans resisted assimilation and maintained a multicultural perspective</w:t>
      </w:r>
    </w:p>
    <w:p w:rsidR="00000000" w:rsidDel="00000000" w:rsidP="00000000" w:rsidRDefault="00000000" w:rsidRPr="00000000" w14:paraId="0000004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720" w:firstLine="0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sectPr>
      <w:headerReference r:id="rId11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5">
    <w:pPr>
      <w:spacing w:line="276" w:lineRule="auto"/>
      <w:rPr>
        <w:rFonts w:ascii="Georgia" w:cs="Georgia" w:eastAsia="Georgia" w:hAnsi="Georgia"/>
        <w:b w:val="1"/>
        <w:color w:val="666666"/>
      </w:rPr>
    </w:pPr>
    <w:r w:rsidDel="00000000" w:rsidR="00000000" w:rsidRPr="00000000">
      <w:rPr>
        <w:rFonts w:ascii="Georgia" w:cs="Georgia" w:eastAsia="Georgia" w:hAnsi="Georgia"/>
        <w:b w:val="1"/>
        <w:color w:val="666666"/>
        <w:rtl w:val="0"/>
      </w:rPr>
      <w:t xml:space="preserve">The African Diaspora and the Development of American Culture</w:t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4667250</wp:posOffset>
          </wp:positionH>
          <wp:positionV relativeFrom="paragraph">
            <wp:posOffset>-142874</wp:posOffset>
          </wp:positionV>
          <wp:extent cx="1954592" cy="442913"/>
          <wp:effectExtent b="0" l="0" r="0" t="0"/>
          <wp:wrapNone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54592" cy="44291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6">
    <w:pPr>
      <w:spacing w:line="276" w:lineRule="auto"/>
      <w:rPr>
        <w:rFonts w:ascii="Georgia" w:cs="Georgia" w:eastAsia="Georgia" w:hAnsi="Georgia"/>
        <w:color w:val="666666"/>
      </w:rPr>
    </w:pPr>
    <w:r w:rsidDel="00000000" w:rsidR="00000000" w:rsidRPr="00000000">
      <w:rPr>
        <w:rFonts w:ascii="Georgia" w:cs="Georgia" w:eastAsia="Georgia" w:hAnsi="Georgia"/>
        <w:color w:val="666666"/>
        <w:rtl w:val="0"/>
      </w:rPr>
      <w:t xml:space="preserve">Unit by BROOKS EAGLES team, part of the 2022 cohort of </w:t>
    </w:r>
    <w:r w:rsidDel="00000000" w:rsidR="00000000" w:rsidRPr="00000000">
      <w:rPr>
        <w:rFonts w:ascii="Georgia" w:cs="Georgia" w:eastAsia="Georgia" w:hAnsi="Georgia"/>
        <w:i w:val="1"/>
        <w:color w:val="666666"/>
        <w:rtl w:val="0"/>
      </w:rPr>
      <w:t xml:space="preserve">The 1619 Project</w:t>
    </w:r>
    <w:r w:rsidDel="00000000" w:rsidR="00000000" w:rsidRPr="00000000">
      <w:rPr>
        <w:rFonts w:ascii="Georgia" w:cs="Georgia" w:eastAsia="Georgia" w:hAnsi="Georgia"/>
        <w:color w:val="666666"/>
        <w:rtl w:val="0"/>
      </w:rPr>
      <w:t xml:space="preserve"> Education Network</w:t>
    </w:r>
  </w:p>
  <w:p w:rsidR="00000000" w:rsidDel="00000000" w:rsidP="00000000" w:rsidRDefault="00000000" w:rsidRPr="00000000" w14:paraId="00000047">
    <w:pPr>
      <w:spacing w:line="276" w:lineRule="auto"/>
      <w:rPr/>
    </w:pPr>
    <w:r w:rsidDel="00000000" w:rsidR="00000000" w:rsidRPr="00000000">
      <w:rPr>
        <w:rFonts w:ascii="Georgia" w:cs="Georgia" w:eastAsia="Georgia" w:hAnsi="Georgia"/>
        <w:rtl w:val="0"/>
      </w:rPr>
      <w:t xml:space="preserve">__________________________________________________________________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3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s://en.wikipedia.org/wiki/Douglas,_Chicago#Bronzeville" TargetMode="External"/><Relationship Id="rId8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