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Bitter" w:cs="Bitter" w:eastAsia="Bitter" w:hAnsi="Bitter"/>
          <w:b w:val="1"/>
          <w:color w:val="990000"/>
          <w:sz w:val="36"/>
          <w:szCs w:val="36"/>
        </w:rPr>
      </w:pPr>
      <w:r w:rsidDel="00000000" w:rsidR="00000000" w:rsidRPr="00000000">
        <w:rPr>
          <w:rFonts w:ascii="Bitter" w:cs="Bitter" w:eastAsia="Bitter" w:hAnsi="Bitter"/>
          <w:b w:val="1"/>
          <w:color w:val="990000"/>
          <w:sz w:val="36"/>
          <w:szCs w:val="36"/>
          <w:rtl w:val="0"/>
        </w:rPr>
        <w:t xml:space="preserve">Boxes &amp; Bullets Graphic Organizer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Bitter" w:cs="Bitter" w:eastAsia="Bitter" w:hAnsi="Bitter"/>
          <w:b w:val="1"/>
          <w:i w:val="1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b w:val="1"/>
          <w:i w:val="1"/>
          <w:sz w:val="28"/>
          <w:szCs w:val="28"/>
          <w:rtl w:val="0"/>
        </w:rPr>
        <w:t xml:space="preserve">Identifying main ideas and relevant supporting details.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Title of source (remember to properly punctuate):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Type of source (i.e., newspaper article):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Date of publication: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itter" w:cs="Bitter" w:eastAsia="Bitter" w:hAnsi="Bitter"/>
          <w:color w:val="99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itter" w:cs="Bitter" w:eastAsia="Bitter" w:hAnsi="Bitter"/>
          <w:color w:val="99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itter" w:cs="Bitter" w:eastAsia="Bitter" w:hAnsi="Bitter"/>
          <w:color w:val="99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Bitter" w:cs="Bitter" w:eastAsia="Bitter" w:hAnsi="Bitt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Bitter" w:cs="Bitter" w:eastAsia="Bitter" w:hAnsi="Bitter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Bitter" w:cs="Bitter" w:eastAsia="Bitter" w:hAnsi="Bitter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Bitter" w:cs="Bitter" w:eastAsia="Bitter" w:hAnsi="Bitter"/>
          <w:color w:val="b45f0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Bitter" w:cs="Bitter" w:eastAsia="Bitter" w:hAnsi="Bitter"/>
          <w:color w:val="b45f0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Bitter" w:cs="Bitter" w:eastAsia="Bitter" w:hAnsi="Bitter"/>
          <w:color w:val="b45f0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Bitter" w:cs="Bitter" w:eastAsia="Bitter" w:hAnsi="Bitter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Bitter" w:cs="Bitter" w:eastAsia="Bitter" w:hAnsi="Bitter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Bitter" w:cs="Bitter" w:eastAsia="Bitter" w:hAnsi="Bitter"/>
          <w:color w:val="bf9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Bitter" w:cs="Bitter" w:eastAsia="Bitter" w:hAnsi="Bitter"/>
          <w:color w:val="bf9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Bitter" w:cs="Bitter" w:eastAsia="Bitter" w:hAnsi="Bitter"/>
          <w:color w:val="bf9000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itt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rPr>
        <w:rFonts w:ascii="Lato" w:cs="Lato" w:eastAsia="Lato" w:hAnsi="Lato"/>
        <w:b w:val="1"/>
        <w:color w:val="666666"/>
      </w:rPr>
    </w:pPr>
    <w:r w:rsidDel="00000000" w:rsidR="00000000" w:rsidRPr="00000000">
      <w:rPr>
        <w:rFonts w:ascii="Lato" w:cs="Lato" w:eastAsia="Lato" w:hAnsi="Lato"/>
        <w:rtl w:val="0"/>
      </w:rPr>
      <w:br w:type="textWrapping"/>
    </w:r>
    <w:r w:rsidDel="00000000" w:rsidR="00000000" w:rsidRPr="00000000">
      <w:rPr>
        <w:rFonts w:ascii="Lato" w:cs="Lato" w:eastAsia="Lato" w:hAnsi="Lato"/>
        <w:b w:val="1"/>
        <w:color w:val="666666"/>
        <w:rtl w:val="0"/>
      </w:rPr>
      <w:t xml:space="preserve">Community Care through Climate Justice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171450</wp:posOffset>
          </wp:positionV>
          <wp:extent cx="2043113" cy="26484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Dani Mccormick, part of the 2021-2022 Pulitzer Center Teacher Fellowship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Bitter-regular.ttf"/><Relationship Id="rId6" Type="http://schemas.openxmlformats.org/officeDocument/2006/relationships/font" Target="fonts/Bitter-bold.ttf"/><Relationship Id="rId7" Type="http://schemas.openxmlformats.org/officeDocument/2006/relationships/font" Target="fonts/Bitter-italic.ttf"/><Relationship Id="rId8" Type="http://schemas.openxmlformats.org/officeDocument/2006/relationships/font" Target="fonts/Bitt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PtNmcVU2EMLBccT9ZYg5d1ZBw==">AMUW2mXklJ9qCGCNAk5Ixf6jVP8ldrFVFXAo6OTyzSY9+NZk2tForvYZCaaOqu+ljjkznc2TDcQoKnV/pumTzOrj244nfiPRuQev+qzyPZA+njwTAo31bNs=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