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Fonts w:ascii="Lato" w:cs="Lato" w:eastAsia="Lato" w:hAnsi="Lato"/>
          <w:color w:val="212529"/>
          <w:highlight w:val="white"/>
          <w:rtl w:val="0"/>
        </w:rPr>
        <w:t xml:space="preserve">S</w:t>
      </w:r>
      <w:r w:rsidDel="00000000" w:rsidR="00000000" w:rsidRPr="00000000">
        <w:rPr>
          <w:rFonts w:ascii="Lato" w:cs="Lato" w:eastAsia="Lato" w:hAnsi="Lato"/>
          <w:color w:val="212529"/>
          <w:highlight w:val="white"/>
          <w:rtl w:val="0"/>
        </w:rPr>
        <w:t xml:space="preserve">amples to discover in article </w:t>
      </w:r>
      <w:r w:rsidDel="00000000" w:rsidR="00000000" w:rsidRPr="00000000">
        <w:rPr>
          <w:rFonts w:ascii="Lato" w:cs="Lato" w:eastAsia="Lato" w:hAnsi="Lato"/>
          <w:rtl w:val="0"/>
        </w:rPr>
        <w:t xml:space="preserve">“</w:t>
      </w:r>
      <w:hyperlink r:id="rId6">
        <w:r w:rsidDel="00000000" w:rsidR="00000000" w:rsidRPr="00000000">
          <w:rPr>
            <w:rFonts w:ascii="Lato" w:cs="Lato" w:eastAsia="Lato" w:hAnsi="Lato"/>
            <w:color w:val="1155cc"/>
            <w:u w:val="single"/>
            <w:rtl w:val="0"/>
          </w:rPr>
          <w:t xml:space="preserve">First Antibody Surveys Draw Fire for Quality, Bias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” by Gretchen Vogel for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Science</w:t>
      </w:r>
      <w:r w:rsidDel="00000000" w:rsidR="00000000" w:rsidRPr="00000000">
        <w:rPr>
          <w:rFonts w:ascii="Lato" w:cs="Lato" w:eastAsia="Lato" w:hAnsi="Lato"/>
          <w:color w:val="212529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Fonts w:ascii="Lato" w:cs="Lato" w:eastAsia="Lato" w:hAnsi="Lato"/>
          <w:color w:val="212529"/>
          <w:highlight w:val="white"/>
          <w:rtl w:val="0"/>
        </w:rPr>
        <w:t xml:space="preserve">(paragraph 8)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Fonts w:ascii="Lato" w:cs="Lato" w:eastAsia="Lato" w:hAnsi="Lato"/>
          <w:color w:val="212529"/>
          <w:highlight w:val="white"/>
          <w:rtl w:val="0"/>
        </w:rPr>
        <w:t xml:space="preserve">A California serology study of 3300 people released last week in a preprint also drew strong criticisms. The lead authors of the study, Jay Bhattacharya and Eran Bendavid, who study health policy at Stanford University, worked with colleagues to </w:t>
      </w:r>
      <w:r w:rsidDel="00000000" w:rsidR="00000000" w:rsidRPr="00000000">
        <w:rPr>
          <w:rFonts w:ascii="Lato" w:cs="Lato" w:eastAsia="Lato" w:hAnsi="Lato"/>
          <w:color w:val="212529"/>
          <w:highlight w:val="yellow"/>
          <w:rtl w:val="0"/>
        </w:rPr>
        <w:t xml:space="preserve">recruit the residents of Santa Clara county through ads on Facebook</w:t>
      </w:r>
      <w:r w:rsidDel="00000000" w:rsidR="00000000" w:rsidRPr="00000000">
        <w:rPr>
          <w:rFonts w:ascii="Lato" w:cs="Lato" w:eastAsia="Lato" w:hAnsi="Lato"/>
          <w:color w:val="212529"/>
          <w:highlight w:val="white"/>
          <w:rtl w:val="0"/>
        </w:rPr>
        <w:t xml:space="preserve">. Fifty antibody tests were positive—about 1.5%.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Fonts w:ascii="Lato" w:cs="Lato" w:eastAsia="Lato" w:hAnsi="Lato"/>
          <w:color w:val="212529"/>
          <w:highlight w:val="white"/>
          <w:rtl w:val="0"/>
        </w:rPr>
        <w:t xml:space="preserve">Biased - Voluntary Response Sample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Fonts w:ascii="Lato" w:cs="Lato" w:eastAsia="Lato" w:hAnsi="Lato"/>
          <w:color w:val="212529"/>
          <w:highlight w:val="white"/>
          <w:rtl w:val="0"/>
        </w:rPr>
        <w:t xml:space="preserve">(paragraph 12)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Fonts w:ascii="Lato" w:cs="Lato" w:eastAsia="Lato" w:hAnsi="Lato"/>
          <w:color w:val="212529"/>
          <w:highlight w:val="white"/>
          <w:rtl w:val="0"/>
        </w:rPr>
        <w:t xml:space="preserve"> A small study in the Boston suburb of Chelsea has found the highest prevalence of antibodies so far. Prompted by the striking number of COVID-19 patients from Chelsea colleagues had seen, Massachusetts General Hospital pathologists John Iafrate and Vivek Naranbhai quickly organized a local serology survey. Within 2 days, they </w:t>
      </w:r>
      <w:r w:rsidDel="00000000" w:rsidR="00000000" w:rsidRPr="00000000">
        <w:rPr>
          <w:rFonts w:ascii="Lato" w:cs="Lato" w:eastAsia="Lato" w:hAnsi="Lato"/>
          <w:color w:val="212529"/>
          <w:highlight w:val="yellow"/>
          <w:rtl w:val="0"/>
        </w:rPr>
        <w:t xml:space="preserve">collected blood samples from 200 passersby on a street corner.</w:t>
      </w:r>
      <w:r w:rsidDel="00000000" w:rsidR="00000000" w:rsidRPr="00000000">
        <w:rPr>
          <w:rFonts w:ascii="Lato" w:cs="Lato" w:eastAsia="Lato" w:hAnsi="Lato"/>
          <w:color w:val="212529"/>
          <w:highlight w:val="white"/>
          <w:rtl w:val="0"/>
        </w:rPr>
        <w:t xml:space="preserve"> That evening, they processed the samples—and shared the results with a reporter from The Boston Globe. Sixty-three were positive—31.5%.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Fonts w:ascii="Lato" w:cs="Lato" w:eastAsia="Lato" w:hAnsi="Lato"/>
          <w:color w:val="212529"/>
          <w:highlight w:val="white"/>
          <w:rtl w:val="0"/>
        </w:rPr>
        <w:t xml:space="preserve">Biased- Convenience Sample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  <w:color w:val="212529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>
        <w:rFonts w:ascii="Lato" w:cs="Lato" w:eastAsia="Lato" w:hAnsi="Lato"/>
        <w:b w:val="1"/>
      </w:rPr>
    </w:pPr>
    <w:r w:rsidDel="00000000" w:rsidR="00000000" w:rsidRPr="00000000">
      <w:rPr>
        <w:rFonts w:ascii="Lato" w:cs="Lato" w:eastAsia="Lato" w:hAnsi="Lato"/>
        <w:b w:val="1"/>
        <w:rtl w:val="0"/>
      </w:rPr>
      <w:t xml:space="preserve">How Can We Use Surveys to Advocate for Ourselves?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4114800</wp:posOffset>
          </wp:positionH>
          <wp:positionV relativeFrom="paragraph">
            <wp:posOffset>66676</wp:posOffset>
          </wp:positionV>
          <wp:extent cx="2043113" cy="26484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1">
    <w:pPr>
      <w:rPr>
        <w:rFonts w:ascii="Lato" w:cs="Lato" w:eastAsia="Lato" w:hAnsi="Lato"/>
      </w:rPr>
    </w:pPr>
    <w:r w:rsidDel="00000000" w:rsidR="00000000" w:rsidRPr="00000000">
      <w:rPr>
        <w:rFonts w:ascii="Lato" w:cs="Lato" w:eastAsia="Lato" w:hAnsi="Lato"/>
        <w:color w:val="666666"/>
        <w:rtl w:val="0"/>
      </w:rPr>
      <w:t xml:space="preserve">Unit by Bethany Bryant, 2021-2022 Pulitzer Center Teacher Fellow</w:t>
      <w:br w:type="textWrapping"/>
    </w:r>
    <w:r w:rsidDel="00000000" w:rsidR="00000000" w:rsidRPr="00000000">
      <w:rPr>
        <w:rFonts w:ascii="Lato" w:cs="Lato" w:eastAsia="Lato" w:hAnsi="Lato"/>
        <w:rtl w:val="0"/>
      </w:rPr>
      <w:t xml:space="preserve">____________________________________________________________________________________________________________</w:t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ulitzercenter.org/stories/first-antibody-surveys-draw-fire-quality-bias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