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240" w:lineRule="auto"/>
        <w:jc w:val="center"/>
        <w:rPr>
          <w:rFonts w:ascii="Georgia" w:cs="Georgia" w:eastAsia="Georgia" w:hAnsi="Georgia"/>
        </w:rPr>
      </w:pPr>
      <w:bookmarkStart w:colFirst="0" w:colLast="0" w:name="_tqvwdmqlkzr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sz w:val="26"/>
          <w:szCs w:val="26"/>
          <w:rtl w:val="0"/>
        </w:rPr>
        <w:t xml:space="preserve">UNIT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10545"/>
        <w:tblGridChange w:id="0">
          <w:tblGrid>
            <w:gridCol w:w="3825"/>
            <w:gridCol w:w="10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Length </w:t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weeks</w:t>
            </w:r>
            <w:r w:rsidDel="00000000" w:rsidR="00000000" w:rsidRPr="00000000">
              <w:rPr>
                <w:rtl w:val="0"/>
              </w:rPr>
              <w:t xml:space="preserve">, Approximately five 90 minute sessions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Grade Level(s)/Subject(s)</w:t>
            </w:r>
          </w:p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11th grade</w:t>
            </w:r>
            <w:r w:rsidDel="00000000" w:rsidR="00000000" w:rsidRPr="00000000">
              <w:rPr>
                <w:rtl w:val="0"/>
              </w:rPr>
              <w:t xml:space="preserve">, For use in English language arts or social studies courses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Overview </w:t>
            </w:r>
          </w:p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Who writes history and how does history get written?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analyze the rhetorical nature of how historical events are presented. Through </w:t>
            </w:r>
            <w:r w:rsidDel="00000000" w:rsidR="00000000" w:rsidRPr="00000000">
              <w:rPr>
                <w:rtl w:val="0"/>
              </w:rPr>
              <w:t xml:space="preserve">analysis</w:t>
            </w:r>
            <w:r w:rsidDel="00000000" w:rsidR="00000000" w:rsidRPr="00000000">
              <w:rPr>
                <w:rtl w:val="0"/>
              </w:rPr>
              <w:t xml:space="preserve"> and discussion of a range of texts from </w:t>
            </w:r>
            <w:r w:rsidDel="00000000" w:rsidR="00000000" w:rsidRPr="00000000">
              <w:rPr>
                <w:i w:val="1"/>
                <w:rtl w:val="0"/>
              </w:rPr>
              <w:t xml:space="preserve">The 1619 Project</w:t>
            </w:r>
            <w:r w:rsidDel="00000000" w:rsidR="00000000" w:rsidRPr="00000000">
              <w:rPr>
                <w:rtl w:val="0"/>
              </w:rPr>
              <w:t xml:space="preserve">, they will answer the inquiry question: Who writes history?</w:t>
            </w:r>
            <w:r w:rsidDel="00000000" w:rsidR="00000000" w:rsidRPr="00000000">
              <w:rPr>
                <w:rtl w:val="0"/>
              </w:rPr>
              <w:t xml:space="preserve"> Students will analyze texts  and examples to draw conclusions into a cohesive essay.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The following document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Objectives &amp; Outcomes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be able to…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rhetorical analysis to examine a range of essays and creative works about slavery and American history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Consider the implications of how historical events are portrayed 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Synthesize their thinking and draw conclusions in response to a central inquiry question in essay and discussion formats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Student outcomes: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will increase perspective and understanding about the narratives of history and how they get constructed.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will be able write critically, using their own thinking synthesized with high-level texts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will be able to read and annotate high-level texts. 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AP English Language and Composition Framework: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RHS.1: ​​Explain how writers’ choices reflect the components of the rhetorical situation.</w:t>
            </w:r>
          </w:p>
          <w:p w:rsidR="00000000" w:rsidDel="00000000" w:rsidP="00000000" w:rsidRDefault="00000000" w:rsidRPr="00000000" w14:paraId="00000021">
            <w:pPr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RHS.2: Make strategic choices in a text to address a rhetorical situation.</w:t>
            </w:r>
          </w:p>
          <w:p w:rsidR="00000000" w:rsidDel="00000000" w:rsidP="00000000" w:rsidRDefault="00000000" w:rsidRPr="00000000" w14:paraId="00000022">
            <w:pPr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CLE.1: Identify and describe the claims and evidence of an argument.</w:t>
            </w:r>
          </w:p>
          <w:p w:rsidR="00000000" w:rsidDel="00000000" w:rsidP="00000000" w:rsidRDefault="00000000" w:rsidRPr="00000000" w14:paraId="00000023">
            <w:pPr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CLE.2: Analyze and select evidence to develop and refine a claim.</w:t>
            </w:r>
          </w:p>
          <w:p w:rsidR="00000000" w:rsidDel="00000000" w:rsidP="00000000" w:rsidRDefault="00000000" w:rsidRPr="00000000" w14:paraId="00000024">
            <w:pPr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REO 5A </w:t>
            </w:r>
            <w:r w:rsidDel="00000000" w:rsidR="00000000" w:rsidRPr="00000000">
              <w:rPr>
                <w:rtl w:val="0"/>
              </w:rPr>
              <w:t xml:space="preserve">Describe the reasoning, organization, and development of an argument.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00" w:lineRule="auto"/>
              <w:rPr>
                <w:rFonts w:ascii="Roboto" w:cs="Roboto" w:eastAsia="Roboto" w:hAnsi="Roboto"/>
                <w:color w:val="505050"/>
              </w:rPr>
            </w:pPr>
            <w:r w:rsidDel="00000000" w:rsidR="00000000" w:rsidRPr="00000000">
              <w:rPr>
                <w:rtl w:val="0"/>
              </w:rPr>
              <w:t xml:space="preserve">REO 1G </w:t>
            </w:r>
            <w:r w:rsidDel="00000000" w:rsidR="00000000" w:rsidRPr="00000000">
              <w:rPr>
                <w:rtl w:val="0"/>
              </w:rPr>
              <w:t xml:space="preserve">Use organization and commentary to illuminate the line of reasoning in an argument.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Educator Note: You are welcome to use the </w:t>
            </w:r>
            <w:r w:rsidDel="00000000" w:rsidR="00000000" w:rsidRPr="00000000">
              <w:rPr>
                <w:rtl w:val="0"/>
              </w:rPr>
              <w:t xml:space="preserve">Framing This Course documen</w:t>
            </w:r>
            <w:r w:rsidDel="00000000" w:rsidR="00000000" w:rsidRPr="00000000">
              <w:rPr>
                <w:rtl w:val="0"/>
              </w:rPr>
              <w:t xml:space="preserve">t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[.pdf]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[.docx]</w:t>
              </w:r>
            </w:hyperlink>
            <w:r w:rsidDel="00000000" w:rsidR="00000000" w:rsidRPr="00000000">
              <w:rPr>
                <w:rtl w:val="0"/>
              </w:rPr>
              <w:t xml:space="preserve"> to share an overview of expectations and procedures with students. 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Unit Resources </w:t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20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"Partnering with Confusion and Uncertainty,"</w:t>
            </w:r>
            <w:r w:rsidDel="00000000" w:rsidR="00000000" w:rsidRPr="00000000">
              <w:rPr>
                <w:rtl w:val="0"/>
              </w:rPr>
              <w:t xml:space="preserve"> by Margaret Wheatley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rtl w:val="0"/>
              </w:rPr>
              <w:t xml:space="preserve">Shambala Sun, 2001.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[.pdf]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[.docx]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200"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"Graffiti Boards,"</w:t>
              </w:r>
            </w:hyperlink>
            <w:r w:rsidDel="00000000" w:rsidR="00000000" w:rsidRPr="00000000">
              <w:rPr>
                <w:rtl w:val="0"/>
              </w:rPr>
              <w:t xml:space="preserve"> Facing History and Ourselves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200" w:line="240" w:lineRule="auto"/>
              <w:rPr>
                <w:i w:val="1"/>
              </w:rPr>
            </w:pPr>
            <w:hyperlink r:id="rId12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The 1619 Project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Reading Guide for </w:t>
              </w:r>
            </w:hyperlink>
            <w:hyperlink r:id="rId14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The 1619 Project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Creative Works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200"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Reading Guide for </w:t>
              </w:r>
            </w:hyperlink>
            <w:hyperlink r:id="rId17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The 1619 Project</w:t>
              </w:r>
            </w:hyperlink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Essays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Socratic Seminar</w:t>
              </w:r>
            </w:hyperlink>
            <w:r w:rsidDel="00000000" w:rsidR="00000000" w:rsidRPr="00000000">
              <w:rPr>
                <w:rtl w:val="0"/>
              </w:rPr>
              <w:t xml:space="preserve">,” </w:t>
            </w:r>
            <w:r w:rsidDel="00000000" w:rsidR="00000000" w:rsidRPr="00000000">
              <w:rPr>
                <w:i w:val="1"/>
                <w:rtl w:val="0"/>
              </w:rPr>
              <w:t xml:space="preserve">Facing History and Ourselves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Performance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explore the following inquiry question through composition and civil discourse: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Who writes history and how does history get written?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Timed Essay: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answer the inquiry question: Who writes history? They will use a rhetorical lens to explain their reasoning.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Socratic Seminar:</w:t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engage in a Socratic Seminar </w:t>
            </w:r>
            <w:r w:rsidDel="00000000" w:rsidR="00000000" w:rsidRPr="00000000">
              <w:rPr>
                <w:rtl w:val="0"/>
              </w:rPr>
              <w:t xml:space="preserve">to ask questions</w:t>
            </w:r>
            <w:r w:rsidDel="00000000" w:rsidR="00000000" w:rsidRPr="00000000">
              <w:rPr>
                <w:rtl w:val="0"/>
              </w:rPr>
              <w:t xml:space="preserve">, express their thinking, and listen to their peers.</w:t>
            </w:r>
          </w:p>
        </w:tc>
      </w:tr>
      <w:tr>
        <w:trPr>
          <w:cantSplit w:val="0"/>
          <w:trHeight w:val="794.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Assessment/</w:t>
            </w:r>
            <w:r w:rsidDel="00000000" w:rsidR="00000000" w:rsidRPr="00000000">
              <w:rPr>
                <w:rtl w:val="0"/>
              </w:rPr>
              <w:t xml:space="preserve">Evaluation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Suggested Text: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the following documents to assess the times essay and the socratic seminar: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Essay Rubric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Socratic Seminar Reflection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[.pdf]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[.docx]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pageBreakBefore w:val="0"/>
        <w:spacing w:line="240" w:lineRule="auto"/>
        <w:jc w:val="left"/>
        <w:rPr>
          <w:rFonts w:ascii="Georgia" w:cs="Georgia" w:eastAsia="Georgia" w:hAnsi="Georgia"/>
        </w:rPr>
      </w:pPr>
      <w:bookmarkStart w:colFirst="0" w:colLast="0" w:name="_krj17ptc6c8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UNIT PACING/DAILY LESSONS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pageBreakBefore w:val="0"/>
        <w:spacing w:line="240" w:lineRule="auto"/>
        <w:jc w:val="center"/>
        <w:rPr>
          <w:rFonts w:ascii="Georgia" w:cs="Georgia" w:eastAsia="Georgia" w:hAnsi="Georgia"/>
        </w:rPr>
      </w:pPr>
      <w:bookmarkStart w:colFirst="0" w:colLast="0" w:name="_1fc90mtokpj4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3075"/>
        <w:gridCol w:w="2625"/>
        <w:gridCol w:w="4185"/>
        <w:gridCol w:w="3330"/>
        <w:tblGridChange w:id="0">
          <w:tblGrid>
            <w:gridCol w:w="1125"/>
            <w:gridCol w:w="3075"/>
            <w:gridCol w:w="2625"/>
            <w:gridCol w:w="4185"/>
            <w:gridCol w:w="333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Pacing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 text(s) / resource(s) for today’s lesson</w:t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Objective(s) or Essential Question(s)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/ Activities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Week 1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Discovering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1619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"Partnering with Confusion and Uncertainty,” </w:t>
            </w:r>
            <w:r w:rsidDel="00000000" w:rsidR="00000000" w:rsidRPr="00000000">
              <w:rPr>
                <w:i w:val="1"/>
                <w:rtl w:val="0"/>
              </w:rPr>
              <w:t xml:space="preserve">by</w:t>
            </w:r>
            <w:r w:rsidDel="00000000" w:rsidR="00000000" w:rsidRPr="00000000">
              <w:rPr>
                <w:rtl w:val="0"/>
              </w:rPr>
              <w:t xml:space="preserve"> Margaret Wheatley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rtl w:val="0"/>
              </w:rPr>
              <w:t xml:space="preserve">Shambala Sun, 2001.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[.pdf]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[.docx]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"Graffiti Boards,"</w:t>
              </w:r>
            </w:hyperlink>
            <w:r w:rsidDel="00000000" w:rsidR="00000000" w:rsidRPr="00000000">
              <w:rPr>
                <w:rtl w:val="0"/>
              </w:rPr>
              <w:t xml:space="preserve"> Facing History and Ourselves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Essential Question: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Who writes history and how does history get written?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Lesson Objectives: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Students will identify the central thesis in a range of informational texts.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Students will identify key attitudes and behaviors to engage in academic discourse respectfully.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  <w:t xml:space="preserve"> the following quote and encourage students to share their initial thinking: “Until the lion learns how to hunt, every story will glorify the hunter.” </w:t>
            </w:r>
          </w:p>
          <w:p w:rsidR="00000000" w:rsidDel="00000000" w:rsidP="00000000" w:rsidRDefault="00000000" w:rsidRPr="00000000" w14:paraId="00000061">
            <w:pPr>
              <w:numPr>
                <w:ilvl w:val="1"/>
                <w:numId w:val="4"/>
              </w:numPr>
              <w:ind w:left="90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 students:</w:t>
            </w:r>
          </w:p>
          <w:p w:rsidR="00000000" w:rsidDel="00000000" w:rsidP="00000000" w:rsidRDefault="00000000" w:rsidRPr="00000000" w14:paraId="00000062">
            <w:pPr>
              <w:numPr>
                <w:ilvl w:val="2"/>
                <w:numId w:val="6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does this quote mean?</w:t>
            </w:r>
          </w:p>
          <w:p w:rsidR="00000000" w:rsidDel="00000000" w:rsidP="00000000" w:rsidRDefault="00000000" w:rsidRPr="00000000" w14:paraId="00000063">
            <w:pPr>
              <w:numPr>
                <w:ilvl w:val="2"/>
                <w:numId w:val="6"/>
              </w:numPr>
              <w:spacing w:after="200" w:before="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you seen examples of this? When? Where?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spacing w:after="200" w:before="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the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Graffiti Boards strategy</w:t>
              </w:r>
            </w:hyperlink>
            <w:r w:rsidDel="00000000" w:rsidR="00000000" w:rsidRPr="00000000">
              <w:rPr>
                <w:rtl w:val="0"/>
              </w:rPr>
              <w:t xml:space="preserve">, instruct students to share their thoughts on the quotes </w:t>
            </w:r>
            <w:r w:rsidDel="00000000" w:rsidR="00000000" w:rsidRPr="00000000">
              <w:rPr>
                <w:rtl w:val="0"/>
              </w:rPr>
              <w:t xml:space="preserve">Read </w:t>
            </w:r>
            <w:r w:rsidDel="00000000" w:rsidR="00000000" w:rsidRPr="00000000">
              <w:rPr>
                <w:rtl w:val="0"/>
              </w:rPr>
              <w:t xml:space="preserve">"Partnering with Confusion and Uncertainty" by Margaret Wheatley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highlight w:val="cy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1"/>
                <w:numId w:val="4"/>
              </w:numPr>
              <w:spacing w:after="0" w:before="0" w:lineRule="auto"/>
              <w:ind w:left="90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Instruct students to answer the questions outlined in the packet.</w:t>
            </w:r>
          </w:p>
          <w:p w:rsidR="00000000" w:rsidDel="00000000" w:rsidP="00000000" w:rsidRDefault="00000000" w:rsidRPr="00000000" w14:paraId="00000066">
            <w:pPr>
              <w:numPr>
                <w:ilvl w:val="1"/>
                <w:numId w:val="4"/>
              </w:numPr>
              <w:spacing w:after="200" w:before="0" w:lineRule="auto"/>
              <w:ind w:left="90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students make connections to the inquiry question: </w:t>
            </w:r>
            <w:r w:rsidDel="00000000" w:rsidR="00000000" w:rsidRPr="00000000">
              <w:rPr>
                <w:rtl w:val="0"/>
              </w:rPr>
              <w:t xml:space="preserve">“Who writes history and how does history get written?”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Share a description of </w:t>
            </w:r>
            <w:r w:rsidDel="00000000" w:rsidR="00000000" w:rsidRPr="00000000">
              <w:rPr>
                <w:i w:val="1"/>
                <w:rtl w:val="0"/>
              </w:rPr>
              <w:t xml:space="preserve">The 1619 Project </w:t>
            </w:r>
            <w:r w:rsidDel="00000000" w:rsidR="00000000" w:rsidRPr="00000000">
              <w:rPr>
                <w:rtl w:val="0"/>
              </w:rPr>
              <w:t xml:space="preserve">with students. Encourage s</w:t>
            </w:r>
            <w:r w:rsidDel="00000000" w:rsidR="00000000" w:rsidRPr="00000000">
              <w:rPr>
                <w:rtl w:val="0"/>
              </w:rPr>
              <w:t xml:space="preserve">tudents to explore the description and make connections to the inquiry in small groups.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Printed quote to be hung up in room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[.pdf]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[.docx]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“Partnering with Confusion and Uncertainty” Text Analysis Assignment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[.pdf]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[.docx]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Days 2-4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hyperlink r:id="rId31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The 1619 Project</w:t>
              </w:r>
            </w:hyperlink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Essential Question: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Who writes history and how does history get written?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Lesson </w:t>
            </w:r>
            <w:r w:rsidDel="00000000" w:rsidR="00000000" w:rsidRPr="00000000">
              <w:rPr>
                <w:u w:val="single"/>
                <w:rtl w:val="0"/>
              </w:rPr>
              <w:t xml:space="preserve">Objectives: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explore and annotate texts from </w:t>
            </w:r>
            <w:r w:rsidDel="00000000" w:rsidR="00000000" w:rsidRPr="00000000">
              <w:rPr>
                <w:i w:val="1"/>
                <w:rtl w:val="0"/>
              </w:rPr>
              <w:t xml:space="preserve">The 1619 Project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discuss their analysis of creative works and essays from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9"/>
              </w:numPr>
              <w:spacing w:after="200" w:before="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Share The Reading Guide for </w:t>
            </w:r>
            <w:r w:rsidDel="00000000" w:rsidR="00000000" w:rsidRPr="00000000">
              <w:rPr>
                <w:i w:val="1"/>
                <w:rtl w:val="0"/>
              </w:rPr>
              <w:t xml:space="preserve">The 1619 Project</w:t>
            </w:r>
            <w:r w:rsidDel="00000000" w:rsidR="00000000" w:rsidRPr="00000000">
              <w:rPr>
                <w:rtl w:val="0"/>
              </w:rPr>
              <w:t xml:space="preserve"> Creative Works and The Reading Guide for </w:t>
            </w:r>
            <w:r w:rsidDel="00000000" w:rsidR="00000000" w:rsidRPr="00000000">
              <w:rPr>
                <w:i w:val="1"/>
                <w:rtl w:val="0"/>
              </w:rPr>
              <w:t xml:space="preserve">The 1619 Project</w:t>
            </w:r>
            <w:r w:rsidDel="00000000" w:rsidR="00000000" w:rsidRPr="00000000">
              <w:rPr>
                <w:rtl w:val="0"/>
              </w:rPr>
              <w:t xml:space="preserve"> Essays. Instruct students to explore the text options in both documents.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1"/>
                <w:numId w:val="9"/>
              </w:numPr>
              <w:spacing w:after="200" w:before="0" w:lineRule="auto"/>
              <w:ind w:left="90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students choose two creative works and two essays for annotation and deep analysis.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1"/>
                <w:numId w:val="9"/>
              </w:numPr>
              <w:spacing w:after="200" w:before="0" w:lineRule="auto"/>
              <w:ind w:left="90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Introduce the Double Entry Journal to students. Instruct them to use the journal to analyze each chosen text.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9"/>
              </w:numPr>
              <w:spacing w:after="20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After completing analysis</w:t>
            </w:r>
            <w:r w:rsidDel="00000000" w:rsidR="00000000" w:rsidRPr="00000000">
              <w:rPr>
                <w:rtl w:val="0"/>
              </w:rPr>
              <w:t xml:space="preserve"> of their chosen texts, put students in small groups (</w:t>
            </w:r>
            <w:r w:rsidDel="00000000" w:rsidR="00000000" w:rsidRPr="00000000">
              <w:rPr>
                <w:rtl w:val="0"/>
              </w:rPr>
              <w:t xml:space="preserve">try teams of three)</w:t>
            </w:r>
            <w:r w:rsidDel="00000000" w:rsidR="00000000" w:rsidRPr="00000000">
              <w:rPr>
                <w:rtl w:val="0"/>
              </w:rPr>
              <w:t xml:space="preserve"> to </w:t>
            </w:r>
            <w:r w:rsidDel="00000000" w:rsidR="00000000" w:rsidRPr="00000000">
              <w:rPr>
                <w:rtl w:val="0"/>
              </w:rPr>
              <w:t xml:space="preserve">share </w:t>
            </w:r>
            <w:r w:rsidDel="00000000" w:rsidR="00000000" w:rsidRPr="00000000">
              <w:rPr>
                <w:rtl w:val="0"/>
              </w:rPr>
              <w:t xml:space="preserve">what they have written in their double entry journal. Students will be grouped by texts they have chosen. Students with the same text will work together.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Reading Guide for </w:t>
              </w:r>
            </w:hyperlink>
            <w:hyperlink r:id="rId34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The 1619 Project</w:t>
              </w:r>
            </w:hyperlink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Creative Works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Reading Guide for </w:t>
              </w:r>
            </w:hyperlink>
            <w:hyperlink r:id="rId37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The 1619 Project</w:t>
              </w:r>
            </w:hyperlink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Essays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Double Entry Journal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[.pdf]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[.docx]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Day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Essential Question: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Who writes history and how does history get written?</w:t>
            </w:r>
          </w:p>
          <w:p w:rsidR="00000000" w:rsidDel="00000000" w:rsidP="00000000" w:rsidRDefault="00000000" w:rsidRPr="00000000" w14:paraId="0000008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Lesson Objectives: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use annotations to build an argument and develop a line of reasoning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give and receive peer feedback on the strength of their thesis and use of evidentiary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7"/>
              </w:numPr>
              <w:spacing w:after="200" w:before="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Reintroduce the inquiry question to students: Who writes history and how does history get written?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7"/>
              </w:numPr>
              <w:spacing w:after="200" w:before="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Instruct students to look through the evidence they have already gathered and answer the question: What evidence did you collect that will help you answer the inquiry question? They can make a list or use whatever format makes sense for them as writers.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7"/>
              </w:numPr>
              <w:spacing w:after="200" w:before="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students time to outline their essay.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Here is an </w:t>
            </w:r>
            <w:r w:rsidDel="00000000" w:rsidR="00000000" w:rsidRPr="00000000">
              <w:rPr>
                <w:rtl w:val="0"/>
              </w:rPr>
              <w:t xml:space="preserve">example outline</w:t>
            </w:r>
            <w:r w:rsidDel="00000000" w:rsidR="00000000" w:rsidRPr="00000000">
              <w:rPr>
                <w:rtl w:val="0"/>
              </w:rPr>
              <w:t xml:space="preserve">.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[.pdf]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[.docx]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7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Divide students </w:t>
            </w:r>
            <w:r w:rsidDel="00000000" w:rsidR="00000000" w:rsidRPr="00000000">
              <w:rPr>
                <w:rtl w:val="0"/>
              </w:rPr>
              <w:t xml:space="preserve">into small groups</w:t>
            </w:r>
            <w:r w:rsidDel="00000000" w:rsidR="00000000" w:rsidRPr="00000000">
              <w:rPr>
                <w:rtl w:val="0"/>
              </w:rPr>
              <w:t xml:space="preserve"> and share the </w:t>
            </w:r>
            <w:r w:rsidDel="00000000" w:rsidR="00000000" w:rsidRPr="00000000">
              <w:rPr>
                <w:rtl w:val="0"/>
              </w:rPr>
              <w:t xml:space="preserve">Thesis Wrap Around worksheet </w:t>
            </w:r>
            <w:r w:rsidDel="00000000" w:rsidR="00000000" w:rsidRPr="00000000">
              <w:rPr>
                <w:rtl w:val="0"/>
              </w:rPr>
              <w:t xml:space="preserve">with students outlining the Thesis Wrap Around activity. </w:t>
            </w:r>
          </w:p>
          <w:p w:rsidR="00000000" w:rsidDel="00000000" w:rsidP="00000000" w:rsidRDefault="00000000" w:rsidRPr="00000000" w14:paraId="00000091">
            <w:pPr>
              <w:numPr>
                <w:ilvl w:val="1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Encourage them to use this activity to pair evidence to their topic sentence. </w:t>
            </w:r>
          </w:p>
          <w:p w:rsidR="00000000" w:rsidDel="00000000" w:rsidP="00000000" w:rsidRDefault="00000000" w:rsidRPr="00000000" w14:paraId="00000092">
            <w:pPr>
              <w:numPr>
                <w:ilvl w:val="1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Hold time for students to complete the activity and encourage students to take note of peer feedback on their arguments.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Thesis Wrap Around </w:t>
            </w:r>
            <w:r w:rsidDel="00000000" w:rsidR="00000000" w:rsidRPr="00000000">
              <w:rPr>
                <w:rtl w:val="0"/>
              </w:rPr>
              <w:t xml:space="preserve">Directions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[.pdf]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[.docx]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Example </w:t>
            </w:r>
            <w:r w:rsidDel="00000000" w:rsidR="00000000" w:rsidRPr="00000000">
              <w:rPr>
                <w:rtl w:val="0"/>
              </w:rPr>
              <w:t xml:space="preserve">Outline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[.pdf]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[.docx]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pageBreakBefore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3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3075"/>
        <w:gridCol w:w="2625"/>
        <w:gridCol w:w="4185"/>
        <w:gridCol w:w="3330"/>
        <w:tblGridChange w:id="0">
          <w:tblGrid>
            <w:gridCol w:w="1125"/>
            <w:gridCol w:w="3075"/>
            <w:gridCol w:w="2625"/>
            <w:gridCol w:w="4185"/>
            <w:gridCol w:w="333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Pacing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 text(s) / resource(s) for today’s lesson</w:t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Objective(s) or Essential Question(s)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/ Activities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Week 2</w:t>
              <w:br w:type="textWrapping"/>
              <w:t xml:space="preserve">Who Writes History?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Essential Question: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Who writes history and how does history get written?</w:t>
            </w:r>
          </w:p>
          <w:p w:rsidR="00000000" w:rsidDel="00000000" w:rsidP="00000000" w:rsidRDefault="00000000" w:rsidRPr="00000000" w14:paraId="000000A7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Lesson Objectives: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generate questions for the Socratic Seminar using their essays as a guide. 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Students will continue revising their outlines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Tell students that in the next lesson they will be engaging in a Socratic Seminar around the essential question. In order to engage, they’ll spend some time preparing questions. </w:t>
            </w:r>
            <w:r w:rsidDel="00000000" w:rsidR="00000000" w:rsidRPr="00000000">
              <w:rPr>
                <w:rtl w:val="0"/>
              </w:rPr>
              <w:t xml:space="preserve">Ask students, “What big questions are arising from your work on this inquiry?” </w:t>
            </w:r>
          </w:p>
          <w:p w:rsidR="00000000" w:rsidDel="00000000" w:rsidP="00000000" w:rsidRDefault="00000000" w:rsidRPr="00000000" w14:paraId="000000AD">
            <w:pPr>
              <w:numPr>
                <w:ilvl w:val="1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Examples of questions include:</w:t>
            </w:r>
          </w:p>
          <w:p w:rsidR="00000000" w:rsidDel="00000000" w:rsidP="00000000" w:rsidRDefault="00000000" w:rsidRPr="00000000" w14:paraId="000000AE">
            <w:pPr>
              <w:numPr>
                <w:ilvl w:val="2"/>
                <w:numId w:val="2"/>
              </w:numPr>
              <w:ind w:left="990" w:hanging="18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the common traits of victors?”</w:t>
            </w:r>
          </w:p>
          <w:p w:rsidR="00000000" w:rsidDel="00000000" w:rsidP="00000000" w:rsidRDefault="00000000" w:rsidRPr="00000000" w14:paraId="000000AF">
            <w:pPr>
              <w:numPr>
                <w:ilvl w:val="2"/>
                <w:numId w:val="2"/>
              </w:numPr>
              <w:ind w:left="990" w:hanging="18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certain narratives get perpetuated, and others hidden?</w:t>
            </w:r>
          </w:p>
          <w:p w:rsidR="00000000" w:rsidDel="00000000" w:rsidP="00000000" w:rsidRDefault="00000000" w:rsidRPr="00000000" w14:paraId="000000B0">
            <w:pPr>
              <w:numPr>
                <w:ilvl w:val="2"/>
                <w:numId w:val="2"/>
              </w:numPr>
              <w:ind w:left="990" w:hanging="18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Is there a way to preserve balance?</w:t>
            </w:r>
          </w:p>
          <w:p w:rsidR="00000000" w:rsidDel="00000000" w:rsidP="00000000" w:rsidRDefault="00000000" w:rsidRPr="00000000" w14:paraId="000000B1">
            <w:pPr>
              <w:numPr>
                <w:ilvl w:val="1"/>
                <w:numId w:val="2"/>
              </w:numPr>
              <w:spacing w:after="200"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teams, instruct students to generate a list of questions.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spacing w:after="200" w:before="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students time to continue working on their essays.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Set aside a block of time for students to meet with a consistent writing group to:</w:t>
            </w:r>
          </w:p>
          <w:p w:rsidR="00000000" w:rsidDel="00000000" w:rsidP="00000000" w:rsidRDefault="00000000" w:rsidRPr="00000000" w14:paraId="000000B4">
            <w:pPr>
              <w:numPr>
                <w:ilvl w:val="2"/>
                <w:numId w:val="2"/>
              </w:numPr>
              <w:ind w:left="990" w:hanging="18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Share progress</w:t>
            </w:r>
          </w:p>
          <w:p w:rsidR="00000000" w:rsidDel="00000000" w:rsidP="00000000" w:rsidRDefault="00000000" w:rsidRPr="00000000" w14:paraId="000000B5">
            <w:pPr>
              <w:numPr>
                <w:ilvl w:val="2"/>
                <w:numId w:val="2"/>
              </w:numPr>
              <w:ind w:left="990" w:hanging="18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Get 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Days 2-4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Socratic Seminar</w:t>
              </w:r>
            </w:hyperlink>
            <w:r w:rsidDel="00000000" w:rsidR="00000000" w:rsidRPr="00000000">
              <w:rPr>
                <w:rtl w:val="0"/>
              </w:rPr>
              <w:t xml:space="preserve">,” </w:t>
            </w:r>
            <w:r w:rsidDel="00000000" w:rsidR="00000000" w:rsidRPr="00000000">
              <w:rPr>
                <w:i w:val="1"/>
                <w:rtl w:val="0"/>
              </w:rPr>
              <w:t xml:space="preserve">Facing History and Ourselves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Essential Question: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Who writes history and how does history get written?</w:t>
            </w:r>
          </w:p>
          <w:p w:rsidR="00000000" w:rsidDel="00000000" w:rsidP="00000000" w:rsidRDefault="00000000" w:rsidRPr="00000000" w14:paraId="000000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Lesson Objectives: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participate in a Socratic Seminar using self-generated questions.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Educator note: in preparation for this class, review the post on </w:t>
            </w:r>
            <w:hyperlink r:id="rId48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Socratic Seminars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5"/>
              </w:numPr>
              <w:spacing w:after="20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the Socratic Seminar activity and essential </w:t>
            </w:r>
            <w:r w:rsidDel="00000000" w:rsidR="00000000" w:rsidRPr="00000000">
              <w:rPr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  <w:t xml:space="preserve"> with students.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5"/>
              </w:numPr>
              <w:spacing w:after="200"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group norms for the activity</w:t>
            </w:r>
            <w:r w:rsidDel="00000000" w:rsidR="00000000" w:rsidRPr="00000000">
              <w:rPr>
                <w:rtl w:val="0"/>
              </w:rPr>
              <w:t xml:space="preserve"> if you already have class norms.</w:t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If not, you can use this protocol to construct norms for the discussion.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5"/>
              </w:numPr>
              <w:spacing w:after="200"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students any additional time they need to prepare for the seminar.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5"/>
              </w:numPr>
              <w:spacing w:after="200"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Conduct the Socratic Seminar.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5"/>
              </w:numPr>
              <w:spacing w:after="20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Set aside some time for students to answer and reflect </w:t>
            </w:r>
            <w:r w:rsidDel="00000000" w:rsidR="00000000" w:rsidRPr="00000000">
              <w:rPr>
                <w:rtl w:val="0"/>
              </w:rPr>
              <w:t xml:space="preserve">on the discussion with </w:t>
            </w:r>
            <w:r w:rsidDel="00000000" w:rsidR="00000000" w:rsidRPr="00000000">
              <w:rPr>
                <w:rtl w:val="0"/>
              </w:rPr>
              <w:t xml:space="preserve">the Socratic Seminar Reflection document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[.pdf]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[.docx]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Two Day Option: The reflection is very important. This may require a second day. However, depending on time available, it could be completed in one day.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Socratic Seminar Reflection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[.pdf]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[.docx]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Student-generated questions</w:t>
            </w:r>
          </w:p>
          <w:p w:rsidR="00000000" w:rsidDel="00000000" w:rsidP="00000000" w:rsidRDefault="00000000" w:rsidRPr="00000000" w14:paraId="000000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All student created resources</w:t>
            </w:r>
          </w:p>
          <w:p w:rsidR="00000000" w:rsidDel="00000000" w:rsidP="00000000" w:rsidRDefault="00000000" w:rsidRPr="00000000" w14:paraId="000000C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Essential Question: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Who writes history and how does history get written?</w:t>
            </w:r>
          </w:p>
          <w:p w:rsidR="00000000" w:rsidDel="00000000" w:rsidP="00000000" w:rsidRDefault="00000000" w:rsidRPr="00000000" w14:paraId="000000D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Lesson Objectives: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construct an argumentative essay using prepared outline and notes from the unit. 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1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Students will craft  a timed essay in response to the inquiry question, “Who writes history and how does history get written?”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1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For the timed essay: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2"/>
                <w:numId w:val="11"/>
              </w:numPr>
              <w:ind w:left="810" w:hanging="360"/>
              <w:rPr/>
            </w:pPr>
            <w:r w:rsidDel="00000000" w:rsidR="00000000" w:rsidRPr="00000000">
              <w:rPr>
                <w:rtl w:val="0"/>
              </w:rPr>
              <w:t xml:space="preserve">Students will get 40 minutes to complete their essay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2"/>
                <w:numId w:val="11"/>
              </w:numPr>
              <w:ind w:left="810" w:hanging="360"/>
              <w:rPr/>
            </w:pPr>
            <w:r w:rsidDel="00000000" w:rsidR="00000000" w:rsidRPr="00000000">
              <w:rPr>
                <w:rtl w:val="0"/>
              </w:rPr>
              <w:t xml:space="preserve">Students can use pen and paper or laptops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2"/>
                <w:numId w:val="11"/>
              </w:numPr>
              <w:spacing w:after="200" w:before="0" w:lineRule="auto"/>
              <w:ind w:left="810" w:hanging="360"/>
              <w:rPr/>
            </w:pPr>
            <w:r w:rsidDel="00000000" w:rsidR="00000000" w:rsidRPr="00000000">
              <w:rPr>
                <w:rtl w:val="0"/>
              </w:rPr>
              <w:t xml:space="preserve">Students can use any resource they have created so far in this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1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Have students share a culminating reflection in small groups by answering the following questions: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did you learn?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were the peaks and valleys of this experience?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pieces will you take with you into your future?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Six-word status: How would you describe your thinking/feelings in six words?</w:t>
            </w:r>
          </w:p>
          <w:p w:rsidR="00000000" w:rsidDel="00000000" w:rsidP="00000000" w:rsidRDefault="00000000" w:rsidRPr="00000000" w14:paraId="000000D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Extension:</w:t>
            </w:r>
          </w:p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Encourage students to share their essays with the class. Students can read excerpts aloud, discuss their essays in small groups, or connect with a partner.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Notebook paper / laptops</w:t>
            </w:r>
          </w:p>
          <w:p w:rsidR="00000000" w:rsidDel="00000000" w:rsidP="00000000" w:rsidRDefault="00000000" w:rsidRPr="00000000" w14:paraId="000000E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All student created resources</w:t>
            </w:r>
          </w:p>
          <w:p w:rsidR="00000000" w:rsidDel="00000000" w:rsidP="00000000" w:rsidRDefault="00000000" w:rsidRPr="00000000" w14:paraId="000000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54" w:type="default"/>
      <w:footerReference r:id="rId55" w:type="default"/>
      <w:pgSz w:h="12240" w:w="15840" w:orient="landscape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spacing w:line="276" w:lineRule="auto"/>
      <w:rPr>
        <w:b w:val="1"/>
        <w:color w:val="666666"/>
      </w:rPr>
    </w:pPr>
    <w:r w:rsidDel="00000000" w:rsidR="00000000" w:rsidRPr="00000000">
      <w:rPr>
        <w:b w:val="1"/>
        <w:color w:val="666666"/>
        <w:rtl w:val="0"/>
      </w:rPr>
      <w:t xml:space="preserve">The Rhetorical Implications of the Victor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-171449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A">
    <w:pPr>
      <w:spacing w:line="276" w:lineRule="auto"/>
      <w:rPr/>
    </w:pPr>
    <w:r w:rsidDel="00000000" w:rsidR="00000000" w:rsidRPr="00000000">
      <w:rPr>
        <w:color w:val="666666"/>
        <w:rtl w:val="0"/>
      </w:rPr>
      <w:t xml:space="preserve">Unit by educators from Piper School District, part of the 2021 cohort of </w:t>
    </w:r>
    <w:r w:rsidDel="00000000" w:rsidR="00000000" w:rsidRPr="00000000">
      <w:rPr>
        <w:i w:val="1"/>
        <w:color w:val="666666"/>
        <w:rtl w:val="0"/>
      </w:rPr>
      <w:t xml:space="preserve">The 1619 Project</w:t>
    </w:r>
    <w:r w:rsidDel="00000000" w:rsidR="00000000" w:rsidRPr="00000000">
      <w:rPr>
        <w:color w:val="666666"/>
        <w:rtl w:val="0"/>
      </w:rPr>
      <w:t xml:space="preserve"> Education Network</w:t>
      <w:br w:type="textWrapping"/>
    </w:r>
    <w:r w:rsidDel="00000000" w:rsidR="00000000" w:rsidRPr="00000000">
      <w:rPr>
        <w:rtl w:val="0"/>
      </w:rPr>
      <w:t xml:space="preserve">_____________________________________________________________________________________________________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➜"/>
      <w:lvlJc w:val="right"/>
      <w:pPr>
        <w:ind w:left="99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➜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➜"/>
      <w:lvlJc w:val="left"/>
      <w:pPr>
        <w:ind w:left="8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jc w:val="center"/>
    </w:pPr>
    <w:rPr>
      <w:rFonts w:ascii="Lato" w:cs="Lato" w:eastAsia="Lato" w:hAnsi="Lato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  <w:jc w:val="center"/>
    </w:pPr>
    <w:rPr>
      <w:rFonts w:ascii="Lato" w:cs="Lato" w:eastAsia="Lato" w:hAnsi="Lato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pulitzercenter.org/sites/default/files/inline-images/Double%20Entry%20Journal.docx" TargetMode="External"/><Relationship Id="rId42" Type="http://schemas.openxmlformats.org/officeDocument/2006/relationships/hyperlink" Target="https://pulitzercenter.org/sites/default/files/inline-images/_Essay%20Outline.docx" TargetMode="External"/><Relationship Id="rId41" Type="http://schemas.openxmlformats.org/officeDocument/2006/relationships/hyperlink" Target="https://pulitzercenter.org/sites/default/files/inline-images/_Essay%20Outline.pdf" TargetMode="External"/><Relationship Id="rId44" Type="http://schemas.openxmlformats.org/officeDocument/2006/relationships/hyperlink" Target="https://pulitzercenter.org/sites/default/files/inline-images/_Thesis%20Wrap%20Around%20Activity.docx" TargetMode="External"/><Relationship Id="rId43" Type="http://schemas.openxmlformats.org/officeDocument/2006/relationships/hyperlink" Target="https://pulitzercenter.org/sites/default/files/inline-images/_Thesis%20Wrap%20Around%20Activity.pdf" TargetMode="External"/><Relationship Id="rId46" Type="http://schemas.openxmlformats.org/officeDocument/2006/relationships/hyperlink" Target="https://pulitzercenter.org/sites/default/files/inline-images/_Essay%20Outline.docx" TargetMode="External"/><Relationship Id="rId45" Type="http://schemas.openxmlformats.org/officeDocument/2006/relationships/hyperlink" Target="https://pulitzercenter.org/sites/default/files/inline-images/_Essay%20Outline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ulitzercenter.org/sites/default/files/inline-images/%E2%80%9CPartnering%20with%20Confusion%20and%20Uncertainty%E2%80%9D%20Text%20Analysis%20Assignment.pdf" TargetMode="External"/><Relationship Id="rId48" Type="http://schemas.openxmlformats.org/officeDocument/2006/relationships/hyperlink" Target="https://www.facinghistory.org/resource-library/teaching-strategies/socratic-seminar?utm_term=&amp;utm_campaign=DSA&amp;utm_source=adwords&amp;utm_medium=ppc&amp;hsa_tgt=dsa-572393114131&amp;hsa_grp=68075055291&amp;hsa_src=g&amp;hsa_net=adwords&amp;hsa_mt=b&amp;hsa_ver=3&amp;hsa_ad=313626659171&amp;hsa_acc=4949854077&amp;hsa_kw=&amp;hsa_cam=1635938820&amp;gclid=CjwKCAjwvuGJBhB1EiwACU1AiYgYJrlufZMk5w21mCln-C4TOhILwj_ss_TbXTcA-bZBY88eB_ztUxoCylgQAvD_BwE" TargetMode="External"/><Relationship Id="rId47" Type="http://schemas.openxmlformats.org/officeDocument/2006/relationships/hyperlink" Target="https://www.facinghistory.org/resource-library/teaching-strategies/socratic-seminar?utm_term=&amp;utm_campaign=DSA&amp;utm_source=adwords&amp;utm_medium=ppc&amp;hsa_tgt=dsa-572393114131&amp;hsa_grp=68075055291&amp;hsa_src=g&amp;hsa_net=adwords&amp;hsa_mt=b&amp;hsa_ver=3&amp;hsa_ad=313626659171&amp;hsa_acc=4949854077&amp;hsa_kw=&amp;hsa_cam=1635938820&amp;gclid=CjwKCAjwvuGJBhB1EiwACU1AiYgYJrlufZMk5w21mCln-C4TOhILwj_ss_TbXTcA-bZBY88eB_ztUxoCylgQAvD_BwE" TargetMode="External"/><Relationship Id="rId49" Type="http://schemas.openxmlformats.org/officeDocument/2006/relationships/hyperlink" Target="https://www.schoolreforminitiative.org/download/forming-ground-rules-creating-norms/" TargetMode="External"/><Relationship Id="rId5" Type="http://schemas.openxmlformats.org/officeDocument/2006/relationships/styles" Target="styles.xml"/><Relationship Id="rId6" Type="http://schemas.openxmlformats.org/officeDocument/2006/relationships/hyperlink" Target="https://apcentral.collegeboard.org/pdf/ap-english-language-and-composition-conceptual-framework.pdf?course=ap-english-language-and-composition" TargetMode="External"/><Relationship Id="rId7" Type="http://schemas.openxmlformats.org/officeDocument/2006/relationships/hyperlink" Target="https://pulitzercenter.org/sites/default/files/inline-images/Framing%20This%20Course.pdf" TargetMode="External"/><Relationship Id="rId8" Type="http://schemas.openxmlformats.org/officeDocument/2006/relationships/hyperlink" Target="https://pulitzercenter.org/sites/default/files/inline-images/Framing%20This%20Course.docx" TargetMode="External"/><Relationship Id="rId31" Type="http://schemas.openxmlformats.org/officeDocument/2006/relationships/hyperlink" Target="https://pulitzercenter.org/sites/default/files/full_issue_of_the_1619_project.pdf" TargetMode="External"/><Relationship Id="rId30" Type="http://schemas.openxmlformats.org/officeDocument/2006/relationships/hyperlink" Target="https://pulitzercenter.org/sites/default/files/inline-images/%E2%80%9CPartnering%20with%20Confusion%20and%20Uncertainty%E2%80%9D%20Text%20Analysis%20Assignment.docx" TargetMode="External"/><Relationship Id="rId33" Type="http://schemas.openxmlformats.org/officeDocument/2006/relationships/hyperlink" Target="https://pulitzercenter.org/sites/default/files/reading_guide_for_the_1619_project_creative_works.pdf" TargetMode="External"/><Relationship Id="rId32" Type="http://schemas.openxmlformats.org/officeDocument/2006/relationships/hyperlink" Target="https://pulitzercenter.org/sites/default/files/full_issue_of_the_1619_project.pdf" TargetMode="External"/><Relationship Id="rId35" Type="http://schemas.openxmlformats.org/officeDocument/2006/relationships/hyperlink" Target="https://pulitzercenter.org/sites/default/files/reading_guide_for_the_1619_project_creative_works.pdf" TargetMode="External"/><Relationship Id="rId34" Type="http://schemas.openxmlformats.org/officeDocument/2006/relationships/hyperlink" Target="https://pulitzercenter.org/sites/default/files/reading_guide_for_the_1619_project_creative_works.pdf" TargetMode="External"/><Relationship Id="rId37" Type="http://schemas.openxmlformats.org/officeDocument/2006/relationships/hyperlink" Target="https://pulitzercenter.org/sites/default/files/reading_guide_for_the_1619_project_essays_0.pdf" TargetMode="External"/><Relationship Id="rId36" Type="http://schemas.openxmlformats.org/officeDocument/2006/relationships/hyperlink" Target="https://pulitzercenter.org/sites/default/files/reading_guide_for_the_1619_project_essays_0.pdf" TargetMode="External"/><Relationship Id="rId39" Type="http://schemas.openxmlformats.org/officeDocument/2006/relationships/hyperlink" Target="https://pulitzercenter.org/sites/default/files/inline-images/Double%20Entry%20Journal.pdf" TargetMode="External"/><Relationship Id="rId38" Type="http://schemas.openxmlformats.org/officeDocument/2006/relationships/hyperlink" Target="https://pulitzercenter.org/sites/default/files/reading_guide_for_the_1619_project_essays_0.pdf" TargetMode="External"/><Relationship Id="rId20" Type="http://schemas.openxmlformats.org/officeDocument/2006/relationships/hyperlink" Target="https://apcentral.collegeboard.org/pdf/ap-english-language-and-composition-frqs-1-2-3-scoring-rubrics.pdf" TargetMode="External"/><Relationship Id="rId22" Type="http://schemas.openxmlformats.org/officeDocument/2006/relationships/hyperlink" Target="https://pulitzercenter.org/sites/default/files/inline-images/Socratic%20Seminar%20Reflection.docx" TargetMode="External"/><Relationship Id="rId21" Type="http://schemas.openxmlformats.org/officeDocument/2006/relationships/hyperlink" Target="https://pulitzercenter.org/sites/default/files/inline-images/Socratic%20Seminar%20Reflection.pdf" TargetMode="External"/><Relationship Id="rId24" Type="http://schemas.openxmlformats.org/officeDocument/2006/relationships/hyperlink" Target="https://pulitzercenter.org/sites/default/files/inline-images/%E2%80%9CPartnering%20with%20Confusion%20and%20Uncertainty%E2%80%9D%20Text%20Analysis%20Assignment.docx" TargetMode="External"/><Relationship Id="rId23" Type="http://schemas.openxmlformats.org/officeDocument/2006/relationships/hyperlink" Target="https://pulitzercenter.org/sites/default/files/inline-images/%E2%80%9CPartnering%20with%20Confusion%20and%20Uncertainty%E2%80%9D%20Text%20Analysis%20Assignment.pdf" TargetMode="External"/><Relationship Id="rId26" Type="http://schemas.openxmlformats.org/officeDocument/2006/relationships/hyperlink" Target="https://www.facinghistory.org/resource-library/teaching-strategies/graffiti-boards" TargetMode="External"/><Relationship Id="rId25" Type="http://schemas.openxmlformats.org/officeDocument/2006/relationships/hyperlink" Target="https://www.facinghistory.org/resource-library/teaching-strategies/graffiti-boards" TargetMode="External"/><Relationship Id="rId28" Type="http://schemas.openxmlformats.org/officeDocument/2006/relationships/hyperlink" Target="https://pulitzercenter.org/sites/default/files/inline-images/Quote%20Splash.docx" TargetMode="External"/><Relationship Id="rId27" Type="http://schemas.openxmlformats.org/officeDocument/2006/relationships/hyperlink" Target="https://pulitzercenter.org/sites/default/files/inline-images/Quote%20Splash.pdf" TargetMode="External"/><Relationship Id="rId29" Type="http://schemas.openxmlformats.org/officeDocument/2006/relationships/hyperlink" Target="https://pulitzercenter.org/sites/default/files/inline-images/%E2%80%9CPartnering%20with%20Confusion%20and%20Uncertainty%E2%80%9D%20Text%20Analysis%20Assignment.pdf" TargetMode="External"/><Relationship Id="rId51" Type="http://schemas.openxmlformats.org/officeDocument/2006/relationships/hyperlink" Target="https://pulitzercenter.org/sites/default/files/inline-images/_Socratic%20Seminar%20Reflection.docx" TargetMode="External"/><Relationship Id="rId50" Type="http://schemas.openxmlformats.org/officeDocument/2006/relationships/hyperlink" Target="https://pulitzercenter.org/sites/default/files/inline-images/_Socratic%20Seminar%20Reflection.pdf" TargetMode="External"/><Relationship Id="rId53" Type="http://schemas.openxmlformats.org/officeDocument/2006/relationships/hyperlink" Target="https://pulitzercenter.org/sites/default/files/inline-images/_Socratic%20Seminar%20Reflection.docx" TargetMode="External"/><Relationship Id="rId52" Type="http://schemas.openxmlformats.org/officeDocument/2006/relationships/hyperlink" Target="https://pulitzercenter.org/sites/default/files/inline-images/_Socratic%20Seminar%20Reflection.pdf" TargetMode="External"/><Relationship Id="rId11" Type="http://schemas.openxmlformats.org/officeDocument/2006/relationships/hyperlink" Target="https://www.facinghistory.org/resource-library/teaching-strategies/graffiti-boards" TargetMode="External"/><Relationship Id="rId55" Type="http://schemas.openxmlformats.org/officeDocument/2006/relationships/footer" Target="footer1.xml"/><Relationship Id="rId10" Type="http://schemas.openxmlformats.org/officeDocument/2006/relationships/hyperlink" Target="https://pulitzercenter.org/sites/default/files/inline-images/%E2%80%9CPartnering%20with%20Confusion%20and%20Uncertainty%E2%80%9D%20Text%20Analysis%20Assignment.docx" TargetMode="External"/><Relationship Id="rId54" Type="http://schemas.openxmlformats.org/officeDocument/2006/relationships/header" Target="header1.xml"/><Relationship Id="rId13" Type="http://schemas.openxmlformats.org/officeDocument/2006/relationships/hyperlink" Target="https://pulitzercenter.org/sites/default/files/reading_guide_for_the_1619_project_creative_works.pdf" TargetMode="External"/><Relationship Id="rId12" Type="http://schemas.openxmlformats.org/officeDocument/2006/relationships/hyperlink" Target="https://pulitzercenter.org/sites/default/files/full_issue_of_the_1619_project.pdf" TargetMode="External"/><Relationship Id="rId15" Type="http://schemas.openxmlformats.org/officeDocument/2006/relationships/hyperlink" Target="https://pulitzercenter.org/sites/default/files/reading_guide_for_the_1619_project_creative_works.pdf" TargetMode="External"/><Relationship Id="rId14" Type="http://schemas.openxmlformats.org/officeDocument/2006/relationships/hyperlink" Target="https://pulitzercenter.org/sites/default/files/reading_guide_for_the_1619_project_creative_works.pdf" TargetMode="External"/><Relationship Id="rId17" Type="http://schemas.openxmlformats.org/officeDocument/2006/relationships/hyperlink" Target="https://pulitzercenter.org/sites/default/files/reading_guide_for_the_1619_project_essays_0.pdf" TargetMode="External"/><Relationship Id="rId16" Type="http://schemas.openxmlformats.org/officeDocument/2006/relationships/hyperlink" Target="https://pulitzercenter.org/sites/default/files/reading_guide_for_the_1619_project_essays_0.pdf" TargetMode="External"/><Relationship Id="rId19" Type="http://schemas.openxmlformats.org/officeDocument/2006/relationships/hyperlink" Target="https://www.facinghistory.org/resource-library/teaching-strategies/socratic-seminar?utm_term=&amp;utm_campaign=DSA&amp;utm_source=adwords&amp;utm_medium=ppc&amp;hsa_tgt=dsa-572393114131&amp;hsa_grp=68075055291&amp;hsa_src=g&amp;hsa_net=adwords&amp;hsa_mt=b&amp;hsa_ver=3&amp;hsa_ad=313626659171&amp;hsa_acc=4949854077&amp;hsa_kw=&amp;hsa_cam=1635938820&amp;gclid=CjwKCAjwvuGJBhB1EiwACU1AiYgYJrlufZMk5w21mCln-C4TOhILwj_ss_TbXTcA-bZBY88eB_ztUxoCylgQAvD_BwE" TargetMode="External"/><Relationship Id="rId18" Type="http://schemas.openxmlformats.org/officeDocument/2006/relationships/hyperlink" Target="https://pulitzercenter.org/sites/default/files/reading_guide_for_the_1619_project_essays_0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